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F5" w:rsidRDefault="008E4AF5" w:rsidP="008E4AF5">
      <w:pPr>
        <w:jc w:val="center"/>
        <w:rPr>
          <w:b/>
          <w:sz w:val="32"/>
          <w:szCs w:val="32"/>
        </w:rPr>
      </w:pPr>
    </w:p>
    <w:p w:rsidR="00D5306F" w:rsidRDefault="00D5306F" w:rsidP="00D5306F">
      <w:pPr>
        <w:spacing w:before="120"/>
        <w:contextualSpacing/>
        <w:jc w:val="center"/>
        <w:rPr>
          <w:b/>
          <w:sz w:val="32"/>
          <w:szCs w:val="32"/>
        </w:rPr>
      </w:pPr>
      <w:r w:rsidRPr="00D5306F">
        <w:rPr>
          <w:b/>
          <w:sz w:val="32"/>
          <w:szCs w:val="32"/>
        </w:rPr>
        <w:t>Podpora zdraví</w:t>
      </w:r>
      <w:r w:rsidR="00D257BA">
        <w:rPr>
          <w:b/>
          <w:sz w:val="32"/>
          <w:szCs w:val="32"/>
        </w:rPr>
        <w:t xml:space="preserve"> 1</w:t>
      </w:r>
    </w:p>
    <w:p w:rsidR="00D5306F" w:rsidRPr="00D5306F" w:rsidRDefault="00D5306F" w:rsidP="00D5306F">
      <w:pPr>
        <w:spacing w:before="120"/>
        <w:contextualSpacing/>
        <w:jc w:val="center"/>
        <w:rPr>
          <w:b/>
          <w:sz w:val="32"/>
          <w:szCs w:val="32"/>
        </w:rPr>
      </w:pPr>
    </w:p>
    <w:p w:rsidR="008E4AF5" w:rsidRDefault="00D5306F" w:rsidP="00D5306F">
      <w:pPr>
        <w:spacing w:line="240" w:lineRule="auto"/>
        <w:jc w:val="center"/>
        <w:rPr>
          <w:b/>
          <w:sz w:val="32"/>
          <w:szCs w:val="32"/>
        </w:rPr>
      </w:pPr>
      <w:r>
        <w:rPr>
          <w:b/>
          <w:sz w:val="32"/>
          <w:szCs w:val="32"/>
        </w:rPr>
        <w:t>Mgr. Michaela Hřivnová, Ph.D.</w:t>
      </w:r>
    </w:p>
    <w:p w:rsidR="00D5306F" w:rsidRDefault="00D5306F" w:rsidP="00D5306F">
      <w:pPr>
        <w:spacing w:line="240" w:lineRule="auto"/>
        <w:jc w:val="center"/>
        <w:rPr>
          <w:b/>
          <w:sz w:val="32"/>
          <w:szCs w:val="32"/>
        </w:rPr>
      </w:pPr>
      <w:r>
        <w:rPr>
          <w:b/>
          <w:sz w:val="32"/>
          <w:szCs w:val="32"/>
        </w:rPr>
        <w:t>Mgr. Jana Majerová</w:t>
      </w:r>
    </w:p>
    <w:p w:rsidR="00D5306F" w:rsidRPr="008E4AF5" w:rsidRDefault="00D5306F" w:rsidP="00D5306F">
      <w:pPr>
        <w:spacing w:line="240" w:lineRule="auto"/>
        <w:jc w:val="center"/>
        <w:rPr>
          <w:b/>
          <w:sz w:val="32"/>
          <w:szCs w:val="32"/>
        </w:rPr>
      </w:pPr>
      <w:r>
        <w:rPr>
          <w:b/>
          <w:sz w:val="32"/>
          <w:szCs w:val="32"/>
        </w:rPr>
        <w:t xml:space="preserve">Katedra antropologie a zdravovědy, </w:t>
      </w:r>
      <w:proofErr w:type="spellStart"/>
      <w:r>
        <w:rPr>
          <w:b/>
          <w:sz w:val="32"/>
          <w:szCs w:val="32"/>
        </w:rPr>
        <w:t>PdF</w:t>
      </w:r>
      <w:proofErr w:type="spellEnd"/>
      <w:r>
        <w:rPr>
          <w:b/>
          <w:sz w:val="32"/>
          <w:szCs w:val="32"/>
        </w:rPr>
        <w:t xml:space="preserve"> UP v Olomouci</w:t>
      </w:r>
    </w:p>
    <w:p w:rsidR="00B90DEE" w:rsidRDefault="00FE4740" w:rsidP="00521422">
      <w:pPr>
        <w:jc w:val="both"/>
        <w:rPr>
          <w:b/>
          <w:sz w:val="32"/>
          <w:szCs w:val="32"/>
        </w:rPr>
      </w:pPr>
      <w:r w:rsidRPr="00622457">
        <w:rPr>
          <w:b/>
          <w:sz w:val="32"/>
          <w:szCs w:val="32"/>
        </w:rPr>
        <w:t>Úvod</w:t>
      </w:r>
    </w:p>
    <w:p w:rsidR="00622457" w:rsidRDefault="00622457" w:rsidP="00622457">
      <w:pPr>
        <w:jc w:val="both"/>
        <w:rPr>
          <w:bCs/>
        </w:rPr>
      </w:pPr>
      <w:r w:rsidRPr="0083556A">
        <w:rPr>
          <w:bCs/>
        </w:rPr>
        <w:t xml:space="preserve">Otázky </w:t>
      </w:r>
      <w:r>
        <w:rPr>
          <w:bCs/>
        </w:rPr>
        <w:t xml:space="preserve">zdraví, podpory zdraví a zdravého životního stylu, ochrany zdraví, prevence nemocí, minimalizace rizikového chování atp. jsou nedílnou součástí výchovy a vzdělávání dětí a dospívajících. Současné </w:t>
      </w:r>
      <w:proofErr w:type="spellStart"/>
      <w:r>
        <w:rPr>
          <w:bCs/>
        </w:rPr>
        <w:t>kurikulární</w:t>
      </w:r>
      <w:proofErr w:type="spellEnd"/>
      <w:r>
        <w:rPr>
          <w:bCs/>
        </w:rPr>
        <w:t xml:space="preserve"> dokumenty, tzv. Rámcové vzdělávací programy, mají v sobě problematiku podpory zdraví a výchovy ke zdraví implementovanou, a to všeobecně i specificky. </w:t>
      </w:r>
    </w:p>
    <w:p w:rsidR="00622457" w:rsidRDefault="00622457" w:rsidP="00622457">
      <w:pPr>
        <w:pStyle w:val="uroven11"/>
        <w:spacing w:line="276" w:lineRule="auto"/>
        <w:ind w:left="0" w:firstLine="0"/>
        <w:jc w:val="both"/>
        <w:rPr>
          <w:rFonts w:asciiTheme="minorHAnsi" w:hAnsiTheme="minorHAnsi"/>
          <w:b w:val="0"/>
          <w:szCs w:val="22"/>
        </w:rPr>
      </w:pPr>
      <w:r w:rsidRPr="00E24226">
        <w:rPr>
          <w:rFonts w:asciiTheme="minorHAnsi" w:hAnsiTheme="minorHAnsi"/>
          <w:b w:val="0"/>
          <w:bCs w:val="0"/>
          <w:szCs w:val="22"/>
        </w:rPr>
        <w:t xml:space="preserve">Rámcový vzdělávací program pro základní vzdělávání </w:t>
      </w:r>
      <w:r>
        <w:rPr>
          <w:rFonts w:asciiTheme="minorHAnsi" w:hAnsiTheme="minorHAnsi"/>
          <w:b w:val="0"/>
          <w:bCs w:val="0"/>
          <w:szCs w:val="22"/>
        </w:rPr>
        <w:t xml:space="preserve">v kap. </w:t>
      </w:r>
      <w:bookmarkStart w:id="0" w:name="_Toc174264744"/>
      <w:bookmarkStart w:id="1" w:name="_Toc342571700"/>
      <w:r w:rsidRPr="00E24226">
        <w:rPr>
          <w:rFonts w:asciiTheme="minorHAnsi" w:hAnsiTheme="minorHAnsi"/>
          <w:b w:val="0"/>
        </w:rPr>
        <w:t>3.2</w:t>
      </w:r>
      <w:r w:rsidRPr="00E24226">
        <w:rPr>
          <w:rFonts w:asciiTheme="minorHAnsi" w:hAnsiTheme="minorHAnsi"/>
          <w:b w:val="0"/>
        </w:rPr>
        <w:tab/>
        <w:t>Cíle základního vzdělávání</w:t>
      </w:r>
      <w:bookmarkEnd w:id="0"/>
      <w:bookmarkEnd w:id="1"/>
      <w:r>
        <w:rPr>
          <w:rFonts w:asciiTheme="minorHAnsi" w:hAnsiTheme="minorHAnsi"/>
          <w:b w:val="0"/>
        </w:rPr>
        <w:t xml:space="preserve"> zahrnuje také cíl, který má za úkol </w:t>
      </w:r>
      <w:r w:rsidRPr="008F5C9C">
        <w:rPr>
          <w:rFonts w:asciiTheme="minorHAnsi" w:hAnsiTheme="minorHAnsi"/>
          <w:b w:val="0"/>
          <w:i/>
        </w:rPr>
        <w:t>„</w:t>
      </w:r>
      <w:r w:rsidRPr="008F5C9C">
        <w:rPr>
          <w:rFonts w:asciiTheme="minorHAnsi" w:hAnsiTheme="minorHAnsi"/>
          <w:b w:val="0"/>
          <w:i/>
          <w:szCs w:val="22"/>
        </w:rPr>
        <w:t xml:space="preserve">učit žáky aktivně rozvíjet a chránit fyzické, duševní a sociální zdraví a být za ně odpovědný“ </w:t>
      </w:r>
      <w:r>
        <w:rPr>
          <w:rFonts w:asciiTheme="minorHAnsi" w:hAnsiTheme="minorHAnsi"/>
          <w:b w:val="0"/>
          <w:szCs w:val="22"/>
        </w:rPr>
        <w:t xml:space="preserve">(RVP ZV, 2013, s. 9). Znamená to tedy, že problematika podpory zdraví je prostoupena celým výchovně-vzdělávacím procesem na základní škole, a že je v gesci každého pedagoga naplňovat cíl podporující zdraví jeho žáků. Z tohoto důvodu je nutná orientace všech učitelů v základních aspektech zdraví, prevence, infekčních i neinfekčních nemocí, poskytování první pomoci u úrazových i neúrazových stavů, podpory zdravého životního stylu ve všech jeho oblastech atp.  </w:t>
      </w:r>
    </w:p>
    <w:p w:rsidR="00622457" w:rsidRDefault="00622457" w:rsidP="00622457">
      <w:pPr>
        <w:pStyle w:val="uroven11"/>
        <w:spacing w:line="276" w:lineRule="auto"/>
        <w:ind w:left="0" w:firstLine="0"/>
        <w:jc w:val="both"/>
        <w:rPr>
          <w:rFonts w:asciiTheme="minorHAnsi" w:hAnsiTheme="minorHAnsi"/>
          <w:b w:val="0"/>
          <w:szCs w:val="22"/>
        </w:rPr>
      </w:pPr>
      <w:r>
        <w:rPr>
          <w:rFonts w:asciiTheme="minorHAnsi" w:hAnsiTheme="minorHAnsi"/>
          <w:b w:val="0"/>
          <w:szCs w:val="22"/>
        </w:rPr>
        <w:t>Specificky je uváděná problematika zařazena na 1. stupni ZŠ zejména do vzdělávací oblasti Člověk a jeho svět a na 2. st. ZŠ dominantně do vzdělávací oblasti Člověk a zdraví, resp. do vzdělávacího oboru Výchova ke zdraví. Vzhledem k relativně nízké časové dotaci pro tento vzdělávací obor (2 h / týden / 4 ročníky) a relativně nízkému zastoupení aprobovaných učitelů Výchovy ke zdraví (cca 30 %), je nutná účelná mezipředmětová vazba na další vzdělávací oblasti a obory a implementace podpory zdraví do všech devíti, resp. osmi vzdělávacích oblastí.</w:t>
      </w:r>
    </w:p>
    <w:p w:rsidR="00622457" w:rsidRDefault="00622457" w:rsidP="00622457">
      <w:pPr>
        <w:pStyle w:val="uroven11"/>
        <w:spacing w:line="276" w:lineRule="auto"/>
        <w:ind w:left="0" w:firstLine="0"/>
        <w:jc w:val="both"/>
        <w:rPr>
          <w:rFonts w:asciiTheme="minorHAnsi" w:hAnsiTheme="minorHAnsi"/>
          <w:b w:val="0"/>
          <w:szCs w:val="22"/>
        </w:rPr>
      </w:pPr>
    </w:p>
    <w:p w:rsidR="00622457" w:rsidRDefault="00257E66" w:rsidP="00622457">
      <w:pPr>
        <w:pStyle w:val="uroven11"/>
        <w:spacing w:line="276" w:lineRule="auto"/>
        <w:ind w:left="0" w:firstLine="0"/>
        <w:jc w:val="both"/>
        <w:rPr>
          <w:b w:val="0"/>
          <w:bCs w:val="0"/>
          <w:sz w:val="32"/>
          <w:szCs w:val="32"/>
        </w:rPr>
      </w:pPr>
      <w:r>
        <w:rPr>
          <w:rFonts w:asciiTheme="minorHAnsi" w:hAnsiTheme="minorHAnsi"/>
          <w:b w:val="0"/>
          <w:szCs w:val="22"/>
        </w:rPr>
        <w:t xml:space="preserve">Studijní text je rozdělen do dvou celků – Podpora zdraví 1 a Podpora zdraví 2. Oba studijní texty na sebe plynule navazují. Obsahová náplň seminářů Podpora zdraví 1 a 2 vychází z obou předložených textů. </w:t>
      </w:r>
      <w:r w:rsidR="00622457">
        <w:rPr>
          <w:rFonts w:asciiTheme="minorHAnsi" w:hAnsiTheme="minorHAnsi"/>
          <w:b w:val="0"/>
          <w:szCs w:val="22"/>
        </w:rPr>
        <w:t>Vzhledem k rozsahu textu jsou zde prezentována pouze vybraná témata. K detailnímu pochopení souvislostí a k získání širšího přehledu o podpoře zdraví doporučujeme prostudovat níže uvedenou literaturu či uvedené webové portály.</w:t>
      </w:r>
    </w:p>
    <w:p w:rsidR="00622457" w:rsidRPr="00622457" w:rsidRDefault="00622457" w:rsidP="00521422">
      <w:pPr>
        <w:jc w:val="both"/>
        <w:rPr>
          <w:b/>
        </w:rPr>
      </w:pPr>
    </w:p>
    <w:p w:rsidR="00257E66" w:rsidRDefault="00257E66">
      <w:pPr>
        <w:rPr>
          <w:b/>
          <w:sz w:val="32"/>
          <w:szCs w:val="32"/>
        </w:rPr>
      </w:pPr>
      <w:r>
        <w:rPr>
          <w:b/>
          <w:sz w:val="32"/>
          <w:szCs w:val="32"/>
        </w:rPr>
        <w:br w:type="page"/>
      </w:r>
    </w:p>
    <w:p w:rsidR="00BC62F6" w:rsidRPr="00622457" w:rsidRDefault="00BC62F6" w:rsidP="00521422">
      <w:pPr>
        <w:jc w:val="both"/>
        <w:rPr>
          <w:b/>
          <w:sz w:val="32"/>
          <w:szCs w:val="32"/>
        </w:rPr>
      </w:pPr>
      <w:r w:rsidRPr="00622457">
        <w:rPr>
          <w:b/>
          <w:sz w:val="32"/>
          <w:szCs w:val="32"/>
        </w:rPr>
        <w:lastRenderedPageBreak/>
        <w:t>Vymezení základních pojmů</w:t>
      </w:r>
    </w:p>
    <w:p w:rsidR="006117E0" w:rsidRPr="006117E0" w:rsidRDefault="006117E0" w:rsidP="00521422">
      <w:pPr>
        <w:jc w:val="both"/>
      </w:pPr>
      <w:r>
        <w:rPr>
          <w:b/>
        </w:rPr>
        <w:t xml:space="preserve">Podpora zdraví </w:t>
      </w:r>
      <w:r w:rsidR="005E097C" w:rsidRPr="005E097C">
        <w:t>(</w:t>
      </w:r>
      <w:proofErr w:type="spellStart"/>
      <w:r w:rsidR="005E097C" w:rsidRPr="005E097C">
        <w:t>h</w:t>
      </w:r>
      <w:r w:rsidR="00FE0E9B" w:rsidRPr="005E097C">
        <w:t>ealth</w:t>
      </w:r>
      <w:proofErr w:type="spellEnd"/>
      <w:r w:rsidR="00FE0E9B" w:rsidRPr="005E097C">
        <w:t xml:space="preserve"> </w:t>
      </w:r>
      <w:proofErr w:type="spellStart"/>
      <w:r w:rsidR="00FE0E9B" w:rsidRPr="005E097C">
        <w:t>promotion</w:t>
      </w:r>
      <w:proofErr w:type="spellEnd"/>
      <w:r w:rsidR="00FE0E9B" w:rsidRPr="005E097C">
        <w:t>)</w:t>
      </w:r>
      <w:r w:rsidR="00FE0E9B">
        <w:rPr>
          <w:b/>
        </w:rPr>
        <w:t xml:space="preserve"> </w:t>
      </w:r>
      <w:r w:rsidR="00F644BD">
        <w:t>zahrnuje veškeré prostředky</w:t>
      </w:r>
      <w:r w:rsidRPr="006117E0">
        <w:t xml:space="preserve"> a metod</w:t>
      </w:r>
      <w:r w:rsidR="00F644BD">
        <w:t>y</w:t>
      </w:r>
      <w:r w:rsidRPr="006117E0">
        <w:t xml:space="preserve"> k posilování, upevňování, ochraně a rozvoji zdraví za předpokladu aktivní účasti jednotlivců i celé společnosti. Podpora zdraví není jen úkolem zdravotníků, ale i učitelů</w:t>
      </w:r>
      <w:r w:rsidR="00F644BD">
        <w:t xml:space="preserve"> resp. školy a rodiny, které mají nezastupitelnou roli v </w:t>
      </w:r>
      <w:r>
        <w:t>přijetí zásad aktivního přístupu ke zdraví.</w:t>
      </w:r>
    </w:p>
    <w:p w:rsidR="005E097C" w:rsidRDefault="00F644BD" w:rsidP="00521422">
      <w:pPr>
        <w:jc w:val="both"/>
        <w:rPr>
          <w:rFonts w:cs="Arial"/>
        </w:rPr>
      </w:pPr>
      <w:r>
        <w:t xml:space="preserve">V souvislosti s podporu zdraví a výchovou ke zdraví se v odborné literatuře, především zahraniční, setkáváme s pojmem zdravotní gramotnost. </w:t>
      </w:r>
      <w:r w:rsidR="00FE0E9B">
        <w:t xml:space="preserve"> </w:t>
      </w:r>
      <w:r w:rsidR="00FE0E9B" w:rsidRPr="00C10E20">
        <w:rPr>
          <w:b/>
        </w:rPr>
        <w:t>Z</w:t>
      </w:r>
      <w:r w:rsidR="00B25856" w:rsidRPr="00C10E20">
        <w:rPr>
          <w:b/>
        </w:rPr>
        <w:t>dravotní gramotnost</w:t>
      </w:r>
      <w:r w:rsidR="005E097C">
        <w:rPr>
          <w:b/>
        </w:rPr>
        <w:t xml:space="preserve"> </w:t>
      </w:r>
      <w:r w:rsidR="005E097C" w:rsidRPr="005E097C">
        <w:t>(</w:t>
      </w:r>
      <w:proofErr w:type="spellStart"/>
      <w:r w:rsidR="005E097C" w:rsidRPr="005E097C">
        <w:t>health</w:t>
      </w:r>
      <w:proofErr w:type="spellEnd"/>
      <w:r w:rsidR="005E097C" w:rsidRPr="005E097C">
        <w:t xml:space="preserve"> </w:t>
      </w:r>
      <w:proofErr w:type="spellStart"/>
      <w:proofErr w:type="gramStart"/>
      <w:r w:rsidR="005E097C" w:rsidRPr="005E097C">
        <w:t>literacy</w:t>
      </w:r>
      <w:proofErr w:type="spellEnd"/>
      <w:r w:rsidR="005E097C" w:rsidRPr="005E097C">
        <w:t>)</w:t>
      </w:r>
      <w:r w:rsidR="005E097C">
        <w:rPr>
          <w:b/>
        </w:rPr>
        <w:t xml:space="preserve"> </w:t>
      </w:r>
      <w:r w:rsidR="00B25856">
        <w:rPr>
          <w:b/>
        </w:rPr>
        <w:t xml:space="preserve"> </w:t>
      </w:r>
      <w:r w:rsidR="00B25856" w:rsidRPr="00B25856">
        <w:t>je</w:t>
      </w:r>
      <w:proofErr w:type="gramEnd"/>
      <w:r w:rsidR="00B25856" w:rsidRPr="00B25856">
        <w:t xml:space="preserve"> dle WHO</w:t>
      </w:r>
      <w:r w:rsidR="00B25856">
        <w:rPr>
          <w:b/>
        </w:rPr>
        <w:t xml:space="preserve"> </w:t>
      </w:r>
      <w:r w:rsidR="00B25856">
        <w:rPr>
          <w:rFonts w:cs="Arial"/>
          <w:i/>
          <w:iCs/>
        </w:rPr>
        <w:t>„</w:t>
      </w:r>
      <w:r w:rsidR="00B25856" w:rsidRPr="00FE4740">
        <w:rPr>
          <w:rFonts w:cs="Arial"/>
          <w:i/>
          <w:iCs/>
        </w:rPr>
        <w:t>kognitivní a sociální dovednost, která determinuje motivaci a schopnost jednotlivců získávat přístup ke zdravotním informacím, rozumět jim a využívat je k rozvoji a udržení dobrého zdraví“</w:t>
      </w:r>
      <w:r w:rsidR="00B25856" w:rsidRPr="00FE4740">
        <w:rPr>
          <w:rFonts w:cs="Arial"/>
        </w:rPr>
        <w:t xml:space="preserve"> (Holčík, 2008)</w:t>
      </w:r>
      <w:r w:rsidR="00BC62F6">
        <w:rPr>
          <w:rFonts w:cs="Arial"/>
        </w:rPr>
        <w:t>.</w:t>
      </w:r>
      <w:r>
        <w:rPr>
          <w:rFonts w:cs="Arial"/>
        </w:rPr>
        <w:t xml:space="preserve"> </w:t>
      </w:r>
      <w:r w:rsidR="005E097C">
        <w:rPr>
          <w:rFonts w:cs="Arial"/>
        </w:rPr>
        <w:t>U nás je pozornost věnována především gramotnosti čtenářské, matematické, finanční, ICT atd. Je jen otázkou času, kdy se i zdravotní gramotnost stane součástí pedagogických dokumentů a pedagogické práce.</w:t>
      </w:r>
    </w:p>
    <w:p w:rsidR="00257E66" w:rsidRDefault="00257E66" w:rsidP="00521422">
      <w:pPr>
        <w:jc w:val="both"/>
        <w:rPr>
          <w:rFonts w:cs="Arial"/>
          <w:b/>
        </w:rPr>
      </w:pPr>
    </w:p>
    <w:p w:rsidR="00BC62F6" w:rsidRPr="005E097C" w:rsidRDefault="00BC62F6" w:rsidP="00521422">
      <w:pPr>
        <w:jc w:val="both"/>
        <w:rPr>
          <w:b/>
        </w:rPr>
      </w:pPr>
      <w:r w:rsidRPr="005E097C">
        <w:rPr>
          <w:rFonts w:cs="Arial"/>
          <w:b/>
        </w:rPr>
        <w:t xml:space="preserve">Prevence </w:t>
      </w:r>
      <w:r w:rsidR="005E097C" w:rsidRPr="005E097C">
        <w:rPr>
          <w:rFonts w:cs="Arial"/>
        </w:rPr>
        <w:t>(</w:t>
      </w:r>
      <w:proofErr w:type="spellStart"/>
      <w:r w:rsidR="005E097C" w:rsidRPr="005E097C">
        <w:rPr>
          <w:rFonts w:cs="Arial"/>
        </w:rPr>
        <w:t>prevention</w:t>
      </w:r>
      <w:proofErr w:type="spellEnd"/>
      <w:r w:rsidR="005E097C" w:rsidRPr="005E097C">
        <w:rPr>
          <w:rFonts w:cs="Arial"/>
        </w:rPr>
        <w:t>)</w:t>
      </w:r>
      <w:r w:rsidR="005E097C">
        <w:rPr>
          <w:rFonts w:cs="Arial"/>
        </w:rPr>
        <w:t xml:space="preserve"> </w:t>
      </w:r>
      <w:r w:rsidR="0048727E">
        <w:rPr>
          <w:rFonts w:cs="Arial"/>
        </w:rPr>
        <w:t xml:space="preserve">je součástí podpory zdraví a chápeme ji jako snahu o předcházení nemocem a jejich komplikací. Prevence se dělí na primární, sekundární a terciální. </w:t>
      </w:r>
      <w:r w:rsidR="0048727E" w:rsidRPr="0048727E">
        <w:rPr>
          <w:rFonts w:cs="Arial"/>
          <w:b/>
        </w:rPr>
        <w:t>Primární prevence</w:t>
      </w:r>
      <w:r w:rsidR="0048727E">
        <w:rPr>
          <w:rFonts w:cs="Arial"/>
        </w:rPr>
        <w:t xml:space="preserve"> se týká období, kdy nemoc ještě nevznikla. Hlavním cílem je zabránit vzniku nemoci. Aktivity v rámci primární prevence jsou zaměřeny na posilování zdraví a proti rizikovým faktorům (např. kouření, alkohol, nedostatek pohybu). </w:t>
      </w:r>
      <w:r w:rsidR="005E4A49">
        <w:rPr>
          <w:rFonts w:cs="Arial"/>
        </w:rPr>
        <w:t xml:space="preserve">O primární prevenci hovoříme i v souvislosti s výchovou a vzděláním v oblasti zdraví a jeho podpory. Sekundární a terciální prevence patří do oblasti zdravotnictví. </w:t>
      </w:r>
      <w:r w:rsidR="005E4A49" w:rsidRPr="005E4A49">
        <w:rPr>
          <w:rFonts w:cs="Arial"/>
          <w:b/>
        </w:rPr>
        <w:t>Sekundární prevence</w:t>
      </w:r>
      <w:r w:rsidR="005E4A49">
        <w:rPr>
          <w:rFonts w:cs="Arial"/>
        </w:rPr>
        <w:t xml:space="preserve"> je zaměřena na včasnou diagnostiku a léčbu chorob (preventivní prohlídky). </w:t>
      </w:r>
      <w:r w:rsidR="005E4A49" w:rsidRPr="005E4A49">
        <w:rPr>
          <w:rFonts w:cs="Arial"/>
          <w:b/>
        </w:rPr>
        <w:t>Terciální prevence</w:t>
      </w:r>
      <w:r w:rsidR="00521422">
        <w:rPr>
          <w:rFonts w:cs="Arial"/>
        </w:rPr>
        <w:t xml:space="preserve"> spočívá v</w:t>
      </w:r>
      <w:r w:rsidR="005E4A49">
        <w:rPr>
          <w:rFonts w:cs="Arial"/>
        </w:rPr>
        <w:t xml:space="preserve"> prevenci komplikací v případě již vzniklé nemoci (např. cukrovka, vysoký krevní tlak).</w:t>
      </w:r>
    </w:p>
    <w:p w:rsidR="00257E66" w:rsidRDefault="00257E66" w:rsidP="00521422">
      <w:pPr>
        <w:jc w:val="both"/>
        <w:rPr>
          <w:rFonts w:cs="Arial"/>
          <w:b/>
        </w:rPr>
      </w:pPr>
    </w:p>
    <w:p w:rsidR="00521422" w:rsidRDefault="00B25856" w:rsidP="00521422">
      <w:pPr>
        <w:jc w:val="both"/>
        <w:rPr>
          <w:rFonts w:cs="Arial"/>
        </w:rPr>
      </w:pPr>
      <w:r w:rsidRPr="00B25856">
        <w:rPr>
          <w:rFonts w:cs="Arial"/>
          <w:b/>
        </w:rPr>
        <w:t xml:space="preserve">Zdraví </w:t>
      </w:r>
      <w:r w:rsidR="005E4A49" w:rsidRPr="005E4A49">
        <w:rPr>
          <w:rFonts w:cs="Arial"/>
        </w:rPr>
        <w:t>(</w:t>
      </w:r>
      <w:proofErr w:type="spellStart"/>
      <w:r w:rsidR="005E4A49" w:rsidRPr="005E4A49">
        <w:rPr>
          <w:rFonts w:cs="Arial"/>
        </w:rPr>
        <w:t>health</w:t>
      </w:r>
      <w:proofErr w:type="spellEnd"/>
      <w:r w:rsidR="005E4A49" w:rsidRPr="005E4A49">
        <w:rPr>
          <w:rFonts w:cs="Arial"/>
        </w:rPr>
        <w:t>)</w:t>
      </w:r>
    </w:p>
    <w:p w:rsidR="00622457" w:rsidRPr="00521422" w:rsidRDefault="002D6255" w:rsidP="00521422">
      <w:pPr>
        <w:jc w:val="both"/>
        <w:rPr>
          <w:rFonts w:cs="Arial"/>
          <w:iCs/>
        </w:rPr>
      </w:pPr>
      <w:r w:rsidRPr="002D6255">
        <w:rPr>
          <w:rFonts w:cs="Arial"/>
        </w:rPr>
        <w:t>Vyjádřit v jedné větě, co je zdraví není je</w:t>
      </w:r>
      <w:r>
        <w:rPr>
          <w:rFonts w:cs="Arial"/>
        </w:rPr>
        <w:t xml:space="preserve">dnoduché. Vycházet lze z definice WHO z roku 1948: </w:t>
      </w:r>
      <w:r w:rsidR="00B25856" w:rsidRPr="00B25856">
        <w:rPr>
          <w:rFonts w:cs="Arial"/>
        </w:rPr>
        <w:t>„</w:t>
      </w:r>
      <w:r w:rsidR="00B25856" w:rsidRPr="00B25856">
        <w:rPr>
          <w:rFonts w:cs="Arial"/>
          <w:i/>
          <w:iCs/>
        </w:rPr>
        <w:t>Zdraví je stav úplné tělesné, psychické a sociál</w:t>
      </w:r>
      <w:r>
        <w:rPr>
          <w:rFonts w:cs="Arial"/>
          <w:i/>
          <w:iCs/>
        </w:rPr>
        <w:t>ní pohody (</w:t>
      </w:r>
      <w:proofErr w:type="spellStart"/>
      <w:r>
        <w:rPr>
          <w:rFonts w:cs="Arial"/>
          <w:i/>
          <w:iCs/>
        </w:rPr>
        <w:t>well-being</w:t>
      </w:r>
      <w:proofErr w:type="spellEnd"/>
      <w:r>
        <w:rPr>
          <w:rFonts w:cs="Arial"/>
          <w:i/>
          <w:iCs/>
        </w:rPr>
        <w:t xml:space="preserve">) a nejen </w:t>
      </w:r>
      <w:r w:rsidR="00B25856" w:rsidRPr="00B25856">
        <w:rPr>
          <w:rFonts w:cs="Arial"/>
          <w:i/>
          <w:iCs/>
        </w:rPr>
        <w:t>nepřítomnost nemoci či vady</w:t>
      </w:r>
      <w:r>
        <w:rPr>
          <w:rFonts w:cs="Arial"/>
          <w:i/>
          <w:iCs/>
        </w:rPr>
        <w:t xml:space="preserve"> </w:t>
      </w:r>
      <w:r w:rsidR="00B25856" w:rsidRPr="00B25856">
        <w:rPr>
          <w:rFonts w:cs="Arial"/>
          <w:i/>
          <w:iCs/>
        </w:rPr>
        <w:t>(</w:t>
      </w:r>
      <w:proofErr w:type="spellStart"/>
      <w:proofErr w:type="gramStart"/>
      <w:r w:rsidR="00B25856" w:rsidRPr="00B25856">
        <w:rPr>
          <w:rFonts w:cs="Arial"/>
          <w:i/>
          <w:iCs/>
        </w:rPr>
        <w:t>infirmity</w:t>
      </w:r>
      <w:proofErr w:type="spellEnd"/>
      <w:r w:rsidR="00B25856" w:rsidRPr="00B25856">
        <w:rPr>
          <w:rFonts w:cs="Arial"/>
          <w:i/>
          <w:iCs/>
        </w:rPr>
        <w:t>)</w:t>
      </w:r>
      <w:r>
        <w:rPr>
          <w:rFonts w:cs="Arial"/>
          <w:i/>
          <w:iCs/>
        </w:rPr>
        <w:t xml:space="preserve"> (</w:t>
      </w:r>
      <w:r w:rsidRPr="002D6255">
        <w:rPr>
          <w:rFonts w:cs="Arial"/>
          <w:iCs/>
        </w:rPr>
        <w:t>WHO</w:t>
      </w:r>
      <w:proofErr w:type="gramEnd"/>
      <w:r w:rsidRPr="002D6255">
        <w:rPr>
          <w:rFonts w:cs="Arial"/>
          <w:iCs/>
        </w:rPr>
        <w:t>, 1974)</w:t>
      </w:r>
      <w:r w:rsidR="00B25856" w:rsidRPr="002D6255">
        <w:rPr>
          <w:rFonts w:cs="Arial"/>
          <w:iCs/>
        </w:rPr>
        <w:t>.</w:t>
      </w:r>
      <w:r w:rsidR="00521422">
        <w:rPr>
          <w:rFonts w:cs="Arial"/>
          <w:iCs/>
        </w:rPr>
        <w:t xml:space="preserve"> </w:t>
      </w:r>
      <w:r w:rsidR="000C79BB">
        <w:rPr>
          <w:rFonts w:cs="Arial"/>
          <w:iCs/>
        </w:rPr>
        <w:t>Žáček (2001) popisuje</w:t>
      </w:r>
      <w:r w:rsidR="000C79BB" w:rsidRPr="000C79BB">
        <w:rPr>
          <w:rFonts w:cs="Arial"/>
          <w:iCs/>
        </w:rPr>
        <w:t xml:space="preserve"> zdraví jako </w:t>
      </w:r>
      <w:r w:rsidR="000C79BB">
        <w:rPr>
          <w:rFonts w:cs="Arial"/>
          <w:i/>
          <w:iCs/>
        </w:rPr>
        <w:t>…</w:t>
      </w:r>
      <w:r w:rsidR="00E41741" w:rsidRPr="00521422">
        <w:rPr>
          <w:rFonts w:cs="Arial"/>
          <w:i/>
          <w:iCs/>
        </w:rPr>
        <w:t xml:space="preserve"> </w:t>
      </w:r>
      <w:r w:rsidR="000C79BB">
        <w:rPr>
          <w:rFonts w:cs="Arial"/>
          <w:i/>
          <w:iCs/>
        </w:rPr>
        <w:t>„</w:t>
      </w:r>
      <w:r w:rsidR="00E41741" w:rsidRPr="00521422">
        <w:rPr>
          <w:rFonts w:cs="Arial"/>
          <w:i/>
          <w:iCs/>
        </w:rPr>
        <w:t>relativně optimální stav tělesné, duševní a sociální pohody při zachování všech funkcí společenských rolí a schopnosti organismu přizpůsobit se měnícím se podmínkám prostředí“.</w:t>
      </w:r>
    </w:p>
    <w:p w:rsidR="0063579E" w:rsidRDefault="0063579E" w:rsidP="00521422">
      <w:pPr>
        <w:jc w:val="both"/>
        <w:rPr>
          <w:rFonts w:cs="Arial"/>
        </w:rPr>
      </w:pPr>
      <w:r>
        <w:rPr>
          <w:rFonts w:cs="Arial"/>
          <w:iCs/>
        </w:rPr>
        <w:t>Lépe nahlédnout na p</w:t>
      </w:r>
      <w:r w:rsidR="00815274">
        <w:rPr>
          <w:rFonts w:cs="Arial"/>
          <w:iCs/>
        </w:rPr>
        <w:t xml:space="preserve">roblematiku </w:t>
      </w:r>
      <w:proofErr w:type="gramStart"/>
      <w:r w:rsidR="00815274">
        <w:rPr>
          <w:rFonts w:cs="Arial"/>
          <w:iCs/>
        </w:rPr>
        <w:t xml:space="preserve">zdraví </w:t>
      </w:r>
      <w:r>
        <w:rPr>
          <w:rFonts w:cs="Arial"/>
          <w:iCs/>
        </w:rPr>
        <w:t xml:space="preserve"> nám</w:t>
      </w:r>
      <w:proofErr w:type="gramEnd"/>
      <w:r>
        <w:rPr>
          <w:rFonts w:cs="Arial"/>
          <w:iCs/>
        </w:rPr>
        <w:t xml:space="preserve"> umožňují </w:t>
      </w:r>
      <w:r w:rsidR="00815274">
        <w:rPr>
          <w:rFonts w:cs="Arial"/>
          <w:iCs/>
        </w:rPr>
        <w:t xml:space="preserve">tzv. </w:t>
      </w:r>
      <w:r w:rsidRPr="0063579E">
        <w:rPr>
          <w:rFonts w:cs="Arial"/>
          <w:b/>
          <w:iCs/>
        </w:rPr>
        <w:t>modely zdraví</w:t>
      </w:r>
      <w:r>
        <w:rPr>
          <w:rFonts w:cs="Arial"/>
          <w:b/>
          <w:iCs/>
        </w:rPr>
        <w:t xml:space="preserve">. </w:t>
      </w:r>
      <w:r w:rsidR="00142E13" w:rsidRPr="00B25856">
        <w:rPr>
          <w:rFonts w:cs="Arial"/>
          <w:b/>
          <w:bCs/>
        </w:rPr>
        <w:t>Biomedicínský model zdraví</w:t>
      </w:r>
      <w:r>
        <w:rPr>
          <w:rFonts w:cs="Arial"/>
          <w:b/>
          <w:bCs/>
        </w:rPr>
        <w:t xml:space="preserve"> </w:t>
      </w:r>
      <w:r w:rsidRPr="00815274">
        <w:rPr>
          <w:rFonts w:cs="Arial"/>
          <w:bCs/>
        </w:rPr>
        <w:t>v</w:t>
      </w:r>
      <w:r w:rsidR="00B25856" w:rsidRPr="00815274">
        <w:rPr>
          <w:rFonts w:cs="Arial"/>
        </w:rPr>
        <w:t>ychá</w:t>
      </w:r>
      <w:r w:rsidR="00B25856" w:rsidRPr="00B25856">
        <w:rPr>
          <w:rFonts w:cs="Arial"/>
        </w:rPr>
        <w:t>zí z</w:t>
      </w:r>
      <w:r>
        <w:rPr>
          <w:rFonts w:cs="Arial"/>
        </w:rPr>
        <w:t> přírodovědně a medicínsky orientovaných oborů. Okruhem zájmu jsou nemoc, její příznaky, diagnostika a terapie.</w:t>
      </w:r>
      <w:r w:rsidR="00B25856" w:rsidRPr="00B25856">
        <w:rPr>
          <w:rFonts w:cs="Arial"/>
          <w:b/>
          <w:bCs/>
        </w:rPr>
        <w:t xml:space="preserve"> </w:t>
      </w:r>
      <w:r w:rsidRPr="0063579E">
        <w:rPr>
          <w:rFonts w:cs="Arial"/>
          <w:bCs/>
        </w:rPr>
        <w:t>O komplexní pojetí zdraví usiluje</w:t>
      </w:r>
      <w:r>
        <w:rPr>
          <w:rFonts w:cs="Arial"/>
          <w:b/>
          <w:bCs/>
        </w:rPr>
        <w:t xml:space="preserve"> s</w:t>
      </w:r>
      <w:r w:rsidR="00B25856" w:rsidRPr="00B25856">
        <w:rPr>
          <w:rFonts w:cs="Arial"/>
          <w:b/>
          <w:bCs/>
        </w:rPr>
        <w:t>ociálně ekologický model zdraví</w:t>
      </w:r>
      <w:r>
        <w:rPr>
          <w:rFonts w:cs="Arial"/>
          <w:b/>
          <w:bCs/>
        </w:rPr>
        <w:t xml:space="preserve">, </w:t>
      </w:r>
      <w:r w:rsidRPr="0063579E">
        <w:rPr>
          <w:rFonts w:cs="Arial"/>
          <w:bCs/>
        </w:rPr>
        <w:t xml:space="preserve">který zahrnuje podmíněnost sociálním a přírodním prostředím. </w:t>
      </w:r>
      <w:r>
        <w:rPr>
          <w:rFonts w:cs="Arial"/>
          <w:bCs/>
        </w:rPr>
        <w:t xml:space="preserve">Z tohoto modelu vychází holistický (celostní) model zdraví, který </w:t>
      </w:r>
      <w:r w:rsidR="000C79BB">
        <w:rPr>
          <w:rFonts w:cs="Arial"/>
          <w:bCs/>
        </w:rPr>
        <w:t xml:space="preserve">pojímá zdraví jako 6 vzájemně se ovlivňujících složek. </w:t>
      </w:r>
      <w:r>
        <w:rPr>
          <w:rFonts w:cs="Arial"/>
        </w:rPr>
        <w:t xml:space="preserve"> Při narušeni, poškození jedné složky, dochází k narušení složek ostatních:</w:t>
      </w:r>
    </w:p>
    <w:p w:rsidR="00622457" w:rsidRDefault="00622457" w:rsidP="00521422">
      <w:pPr>
        <w:jc w:val="both"/>
        <w:rPr>
          <w:rFonts w:cs="Arial"/>
        </w:rPr>
      </w:pPr>
    </w:p>
    <w:p w:rsidR="00257E66" w:rsidRDefault="00257E66">
      <w:pPr>
        <w:rPr>
          <w:rFonts w:cs="Arial"/>
          <w:b/>
          <w:noProof/>
          <w:lang w:eastAsia="cs-CZ"/>
        </w:rPr>
      </w:pPr>
      <w:r>
        <w:rPr>
          <w:rFonts w:cs="Arial"/>
          <w:b/>
          <w:noProof/>
          <w:lang w:eastAsia="cs-CZ"/>
        </w:rPr>
        <w:br w:type="page"/>
      </w:r>
    </w:p>
    <w:p w:rsidR="005746C5" w:rsidRDefault="00694D66" w:rsidP="00521422">
      <w:pPr>
        <w:jc w:val="both"/>
        <w:rPr>
          <w:rFonts w:cs="Arial"/>
        </w:rPr>
      </w:pPr>
      <w:r w:rsidRPr="000C79BB">
        <w:rPr>
          <w:b/>
          <w:noProof/>
          <w:lang w:eastAsia="cs-CZ"/>
        </w:rPr>
        <w:lastRenderedPageBreak/>
        <w:drawing>
          <wp:anchor distT="0" distB="0" distL="114300" distR="114300" simplePos="0" relativeHeight="251636736" behindDoc="0" locked="0" layoutInCell="1" allowOverlap="1" wp14:anchorId="73C836BE" wp14:editId="62E90145">
            <wp:simplePos x="0" y="0"/>
            <wp:positionH relativeFrom="column">
              <wp:posOffset>3957955</wp:posOffset>
            </wp:positionH>
            <wp:positionV relativeFrom="paragraph">
              <wp:posOffset>20955</wp:posOffset>
            </wp:positionV>
            <wp:extent cx="723900" cy="113347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133475"/>
                    </a:xfrm>
                    <a:prstGeom prst="rect">
                      <a:avLst/>
                    </a:prstGeom>
                    <a:noFill/>
                  </pic:spPr>
                </pic:pic>
              </a:graphicData>
            </a:graphic>
            <wp14:sizeRelH relativeFrom="page">
              <wp14:pctWidth>0</wp14:pctWidth>
            </wp14:sizeRelH>
            <wp14:sizeRelV relativeFrom="page">
              <wp14:pctHeight>0</wp14:pctHeight>
            </wp14:sizeRelV>
          </wp:anchor>
        </w:drawing>
      </w:r>
      <w:r w:rsidR="0063579E" w:rsidRPr="000C79BB">
        <w:rPr>
          <w:rFonts w:cs="Arial"/>
          <w:b/>
          <w:noProof/>
          <w:lang w:eastAsia="cs-CZ"/>
        </w:rPr>
        <w:t>Holistický model zdraví (složky)</w:t>
      </w:r>
      <w:r w:rsidR="0063579E">
        <w:rPr>
          <w:rFonts w:cs="Arial"/>
          <w:noProof/>
          <w:lang w:eastAsia="cs-CZ"/>
        </w:rPr>
        <w:t>:</w:t>
      </w:r>
    </w:p>
    <w:p w:rsidR="003772BC" w:rsidRPr="005746C5" w:rsidRDefault="00142E13" w:rsidP="00521422">
      <w:pPr>
        <w:numPr>
          <w:ilvl w:val="0"/>
          <w:numId w:val="5"/>
        </w:numPr>
        <w:spacing w:after="0"/>
        <w:ind w:left="0" w:firstLine="0"/>
        <w:jc w:val="both"/>
        <w:rPr>
          <w:rFonts w:cs="Arial"/>
        </w:rPr>
      </w:pPr>
      <w:r w:rsidRPr="005746C5">
        <w:rPr>
          <w:rFonts w:cs="Arial"/>
        </w:rPr>
        <w:t>Fyzická (tělesná)</w:t>
      </w:r>
    </w:p>
    <w:p w:rsidR="003772BC" w:rsidRPr="005746C5" w:rsidRDefault="00142E13" w:rsidP="00521422">
      <w:pPr>
        <w:numPr>
          <w:ilvl w:val="0"/>
          <w:numId w:val="5"/>
        </w:numPr>
        <w:spacing w:after="0"/>
        <w:ind w:left="0" w:firstLine="0"/>
        <w:jc w:val="both"/>
        <w:rPr>
          <w:rFonts w:cs="Arial"/>
        </w:rPr>
      </w:pPr>
      <w:r w:rsidRPr="005746C5">
        <w:rPr>
          <w:rFonts w:cs="Arial"/>
        </w:rPr>
        <w:t>Mentální (duševní)</w:t>
      </w:r>
    </w:p>
    <w:p w:rsidR="003772BC" w:rsidRPr="005746C5" w:rsidRDefault="00142E13" w:rsidP="00521422">
      <w:pPr>
        <w:numPr>
          <w:ilvl w:val="0"/>
          <w:numId w:val="5"/>
        </w:numPr>
        <w:spacing w:after="0"/>
        <w:ind w:left="0" w:firstLine="0"/>
        <w:jc w:val="both"/>
        <w:rPr>
          <w:rFonts w:cs="Arial"/>
        </w:rPr>
      </w:pPr>
      <w:r w:rsidRPr="005746C5">
        <w:rPr>
          <w:rFonts w:cs="Arial"/>
        </w:rPr>
        <w:t xml:space="preserve">Emocionální (citová) </w:t>
      </w:r>
    </w:p>
    <w:p w:rsidR="003772BC" w:rsidRPr="005746C5" w:rsidRDefault="00142E13" w:rsidP="00521422">
      <w:pPr>
        <w:numPr>
          <w:ilvl w:val="0"/>
          <w:numId w:val="5"/>
        </w:numPr>
        <w:spacing w:after="0"/>
        <w:ind w:left="0" w:firstLine="0"/>
        <w:jc w:val="both"/>
        <w:rPr>
          <w:rFonts w:cs="Arial"/>
        </w:rPr>
      </w:pPr>
      <w:r w:rsidRPr="005746C5">
        <w:rPr>
          <w:rFonts w:cs="Arial"/>
        </w:rPr>
        <w:t>Sociální (společenská)</w:t>
      </w:r>
    </w:p>
    <w:p w:rsidR="005746C5" w:rsidRDefault="00142E13" w:rsidP="00521422">
      <w:pPr>
        <w:numPr>
          <w:ilvl w:val="0"/>
          <w:numId w:val="5"/>
        </w:numPr>
        <w:spacing w:after="0"/>
        <w:ind w:left="0" w:firstLine="0"/>
        <w:jc w:val="both"/>
        <w:rPr>
          <w:rFonts w:cs="Arial"/>
        </w:rPr>
      </w:pPr>
      <w:r w:rsidRPr="005746C5">
        <w:rPr>
          <w:rFonts w:cs="Arial"/>
        </w:rPr>
        <w:t>Seberealizační (osobní)</w:t>
      </w:r>
    </w:p>
    <w:p w:rsidR="005746C5" w:rsidRDefault="005746C5" w:rsidP="00521422">
      <w:pPr>
        <w:numPr>
          <w:ilvl w:val="0"/>
          <w:numId w:val="5"/>
        </w:numPr>
        <w:spacing w:after="0"/>
        <w:ind w:left="0" w:firstLine="0"/>
        <w:jc w:val="both"/>
        <w:rPr>
          <w:rFonts w:cs="Arial"/>
        </w:rPr>
      </w:pPr>
      <w:r w:rsidRPr="005746C5">
        <w:rPr>
          <w:rFonts w:cs="Arial"/>
        </w:rPr>
        <w:t>Spirituální (</w:t>
      </w:r>
      <w:proofErr w:type="gramStart"/>
      <w:r w:rsidRPr="005746C5">
        <w:rPr>
          <w:rFonts w:cs="Arial"/>
        </w:rPr>
        <w:t xml:space="preserve">duchovní) </w:t>
      </w:r>
      <w:r w:rsidR="00694D66">
        <w:rPr>
          <w:rFonts w:cs="Arial"/>
        </w:rPr>
        <w:t xml:space="preserve">                                        Obr.</w:t>
      </w:r>
      <w:proofErr w:type="gramEnd"/>
      <w:r w:rsidR="00694D66">
        <w:rPr>
          <w:rFonts w:cs="Arial"/>
        </w:rPr>
        <w:t xml:space="preserve"> 1 Holistický model zdraví (zdroj: google.cz)</w:t>
      </w:r>
    </w:p>
    <w:p w:rsidR="00815274" w:rsidRPr="005746C5" w:rsidRDefault="00815274" w:rsidP="00521422">
      <w:pPr>
        <w:spacing w:after="0"/>
        <w:jc w:val="both"/>
        <w:rPr>
          <w:rFonts w:cs="Arial"/>
        </w:rPr>
      </w:pPr>
    </w:p>
    <w:p w:rsidR="00257E66" w:rsidRDefault="00257E66" w:rsidP="000C79BB">
      <w:pPr>
        <w:spacing w:after="0"/>
        <w:jc w:val="both"/>
        <w:rPr>
          <w:rFonts w:cs="Arial"/>
        </w:rPr>
      </w:pPr>
    </w:p>
    <w:p w:rsidR="0002583E" w:rsidRDefault="005746C5" w:rsidP="000C79BB">
      <w:pPr>
        <w:spacing w:after="0"/>
        <w:jc w:val="both"/>
      </w:pPr>
      <w:r>
        <w:rPr>
          <w:rFonts w:cs="Arial"/>
        </w:rPr>
        <w:t xml:space="preserve"> </w:t>
      </w:r>
      <w:r w:rsidR="000C79BB">
        <w:rPr>
          <w:rFonts w:cs="Arial"/>
        </w:rPr>
        <w:t xml:space="preserve">Zdraví </w:t>
      </w:r>
      <w:r w:rsidR="00694D66">
        <w:t xml:space="preserve">je determinováno celou řadou vlivů tzv. </w:t>
      </w:r>
      <w:r w:rsidR="00694D66" w:rsidRPr="00315ADF">
        <w:rPr>
          <w:b/>
        </w:rPr>
        <w:t>determinanty zdraví</w:t>
      </w:r>
      <w:r w:rsidR="00694D66">
        <w:t>. Jedná se o životn</w:t>
      </w:r>
      <w:r w:rsidR="000C79BB">
        <w:t>í styl, úrove</w:t>
      </w:r>
      <w:r w:rsidR="00694D66">
        <w:t>ň zdravotní péče, prostředí (životní, soci</w:t>
      </w:r>
      <w:r w:rsidR="00315ADF">
        <w:t xml:space="preserve">ální) a genetiku. Míru vlivu na zdraví v procentech ukazuje schéma 1. </w:t>
      </w:r>
    </w:p>
    <w:p w:rsidR="00257E66" w:rsidRDefault="00257E66" w:rsidP="000C79BB">
      <w:pPr>
        <w:spacing w:after="0"/>
        <w:jc w:val="both"/>
      </w:pPr>
    </w:p>
    <w:p w:rsidR="00257E66" w:rsidRDefault="00257E66" w:rsidP="000C79BB">
      <w:pPr>
        <w:spacing w:after="0"/>
        <w:jc w:val="both"/>
      </w:pPr>
      <w:r>
        <w:rPr>
          <w:noProof/>
          <w:lang w:eastAsia="cs-CZ"/>
        </w:rPr>
        <mc:AlternateContent>
          <mc:Choice Requires="wpg">
            <w:drawing>
              <wp:anchor distT="0" distB="0" distL="114300" distR="114300" simplePos="0" relativeHeight="251713536" behindDoc="0" locked="0" layoutInCell="1" allowOverlap="1">
                <wp:simplePos x="0" y="0"/>
                <wp:positionH relativeFrom="column">
                  <wp:posOffset>519430</wp:posOffset>
                </wp:positionH>
                <wp:positionV relativeFrom="paragraph">
                  <wp:posOffset>91440</wp:posOffset>
                </wp:positionV>
                <wp:extent cx="4210050" cy="2152650"/>
                <wp:effectExtent l="0" t="0" r="19050" b="19050"/>
                <wp:wrapNone/>
                <wp:docPr id="6" name="Skupina 6"/>
                <wp:cNvGraphicFramePr/>
                <a:graphic xmlns:a="http://schemas.openxmlformats.org/drawingml/2006/main">
                  <a:graphicData uri="http://schemas.microsoft.com/office/word/2010/wordprocessingGroup">
                    <wpg:wgp>
                      <wpg:cNvGrpSpPr/>
                      <wpg:grpSpPr>
                        <a:xfrm>
                          <a:off x="0" y="0"/>
                          <a:ext cx="4210050" cy="2152650"/>
                          <a:chOff x="0" y="0"/>
                          <a:chExt cx="4210050" cy="2152650"/>
                        </a:xfrm>
                      </wpg:grpSpPr>
                      <wps:wsp>
                        <wps:cNvPr id="4" name="Obdélník 4"/>
                        <wps:cNvSpPr/>
                        <wps:spPr>
                          <a:xfrm>
                            <a:off x="1609725" y="847725"/>
                            <a:ext cx="1114425" cy="495300"/>
                          </a:xfrm>
                          <a:prstGeom prst="rect">
                            <a:avLst/>
                          </a:prstGeom>
                          <a:ln>
                            <a:solidFill>
                              <a:schemeClr val="accent2">
                                <a:lumMod val="50000"/>
                              </a:schemeClr>
                            </a:solidFill>
                          </a:ln>
                        </wps:spPr>
                        <wps:style>
                          <a:lnRef idx="2">
                            <a:schemeClr val="accent2"/>
                          </a:lnRef>
                          <a:fillRef idx="1">
                            <a:schemeClr val="lt1"/>
                          </a:fillRef>
                          <a:effectRef idx="0">
                            <a:schemeClr val="accent2"/>
                          </a:effectRef>
                          <a:fontRef idx="minor">
                            <a:schemeClr val="dk1"/>
                          </a:fontRef>
                        </wps:style>
                        <wps:txbx>
                          <w:txbxContent>
                            <w:p w:rsidR="0002583E" w:rsidRDefault="0002583E" w:rsidP="0002583E">
                              <w:pPr>
                                <w:jc w:val="center"/>
                              </w:pPr>
                              <w:r>
                                <w:t>Determinanty zdraví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bdélník 10"/>
                        <wps:cNvSpPr/>
                        <wps:spPr>
                          <a:xfrm>
                            <a:off x="1685925" y="0"/>
                            <a:ext cx="1000125" cy="466725"/>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7144E" w:rsidRDefault="0007144E" w:rsidP="000C79BB">
                              <w:pPr>
                                <w:spacing w:line="240" w:lineRule="auto"/>
                                <w:jc w:val="center"/>
                              </w:pPr>
                              <w:proofErr w:type="gramStart"/>
                              <w:r>
                                <w:t>Genetika</w:t>
                              </w:r>
                              <w:r w:rsidR="000C79BB">
                                <w:t xml:space="preserve">     10</w:t>
                              </w:r>
                              <w:proofErr w:type="gramEnd"/>
                              <w:r w:rsidR="000C79BB">
                                <w:t>-15%</w:t>
                              </w:r>
                            </w:p>
                            <w:p w:rsidR="000C79BB" w:rsidRDefault="000C79BB" w:rsidP="0007144E">
                              <w:pPr>
                                <w:jc w:val="center"/>
                              </w:pPr>
                              <w:r>
                                <w:t>10</w:t>
                              </w:r>
                            </w:p>
                            <w:p w:rsidR="000C79BB" w:rsidRDefault="000C79BB" w:rsidP="000714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bdélník 11"/>
                        <wps:cNvSpPr/>
                        <wps:spPr>
                          <a:xfrm>
                            <a:off x="1571625" y="1657350"/>
                            <a:ext cx="1314450" cy="495300"/>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C79BB" w:rsidRDefault="00AF75CE" w:rsidP="00AF75CE">
                              <w:pPr>
                                <w:spacing w:after="0" w:line="240" w:lineRule="auto"/>
                              </w:pPr>
                              <w:r>
                                <w:t xml:space="preserve">   </w:t>
                              </w:r>
                              <w:r w:rsidR="000C79BB">
                                <w:t xml:space="preserve">  </w:t>
                              </w:r>
                              <w:r>
                                <w:t xml:space="preserve">    </w:t>
                              </w:r>
                              <w:r w:rsidR="0002583E">
                                <w:t>Prostředí</w:t>
                              </w:r>
                              <w:r w:rsidR="000C79BB">
                                <w:t xml:space="preserve"> </w:t>
                              </w:r>
                            </w:p>
                            <w:p w:rsidR="0002583E" w:rsidRDefault="00AF75CE" w:rsidP="00AF75CE">
                              <w:pPr>
                                <w:spacing w:after="0" w:line="240" w:lineRule="auto"/>
                              </w:pPr>
                              <w:r>
                                <w:t xml:space="preserve">      </w:t>
                              </w:r>
                              <w:r w:rsidR="000C79BB">
                                <w:t xml:space="preserve"> </w:t>
                              </w:r>
                              <w:r>
                                <w:t xml:space="preserve">     </w:t>
                              </w:r>
                              <w:r w:rsidR="000C79BB">
                                <w:t>20-25 %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bdélník 12"/>
                        <wps:cNvSpPr/>
                        <wps:spPr>
                          <a:xfrm>
                            <a:off x="0" y="752475"/>
                            <a:ext cx="1285875" cy="676275"/>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7144E" w:rsidRDefault="0007144E" w:rsidP="00AF75CE">
                              <w:pPr>
                                <w:spacing w:after="0" w:line="240" w:lineRule="auto"/>
                                <w:jc w:val="center"/>
                              </w:pPr>
                              <w:r>
                                <w:t>Životní styl</w:t>
                              </w:r>
                              <w:r w:rsidR="00C04B0A">
                                <w:t xml:space="preserve">         </w:t>
                              </w:r>
                              <w:r w:rsidR="000C79BB">
                                <w:t xml:space="preserve"> 50-60 %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bdélník 13"/>
                        <wps:cNvSpPr/>
                        <wps:spPr>
                          <a:xfrm>
                            <a:off x="3076575" y="742950"/>
                            <a:ext cx="1133475" cy="628650"/>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AF75CE" w:rsidRDefault="00AF75CE" w:rsidP="000C79BB">
                              <w:pPr>
                                <w:spacing w:after="0" w:line="240" w:lineRule="auto"/>
                                <w:jc w:val="center"/>
                              </w:pPr>
                            </w:p>
                            <w:p w:rsidR="000C79BB" w:rsidRDefault="0007144E" w:rsidP="000C79BB">
                              <w:pPr>
                                <w:spacing w:after="0" w:line="240" w:lineRule="auto"/>
                                <w:jc w:val="center"/>
                              </w:pPr>
                              <w:r>
                                <w:t>Zdravotní péče</w:t>
                              </w:r>
                            </w:p>
                            <w:p w:rsidR="0007144E" w:rsidRDefault="000C79BB" w:rsidP="000C79BB">
                              <w:pPr>
                                <w:spacing w:after="0" w:line="240" w:lineRule="auto"/>
                                <w:jc w:val="center"/>
                              </w:pPr>
                              <w:r>
                                <w:t xml:space="preserve"> 15-20 %</w:t>
                              </w:r>
                            </w:p>
                            <w:p w:rsidR="000C79BB" w:rsidRDefault="000C79BB" w:rsidP="000C79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Šipka doprava 3"/>
                        <wps:cNvSpPr/>
                        <wps:spPr>
                          <a:xfrm rot="16200000">
                            <a:off x="2019300" y="609600"/>
                            <a:ext cx="304800" cy="106330"/>
                          </a:xfrm>
                          <a:prstGeom prst="rightArrow">
                            <a:avLst>
                              <a:gd name="adj1" fmla="val 50000"/>
                              <a:gd name="adj2" fmla="val 47161"/>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Šipka doprava 5"/>
                        <wps:cNvSpPr/>
                        <wps:spPr>
                          <a:xfrm>
                            <a:off x="2743200" y="1019175"/>
                            <a:ext cx="304800" cy="125095"/>
                          </a:xfrm>
                          <a:prstGeom prst="rightArrow">
                            <a:avLst>
                              <a:gd name="adj1" fmla="val 50000"/>
                              <a:gd name="adj2" fmla="val 47161"/>
                            </a:avLst>
                          </a:prstGeom>
                          <a:solidFill>
                            <a:srgbClr val="C0504D">
                              <a:lumMod val="20000"/>
                              <a:lumOff val="80000"/>
                            </a:srgbClr>
                          </a:solidFill>
                          <a:ln w="2540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Šipka doprava 15"/>
                        <wps:cNvSpPr/>
                        <wps:spPr>
                          <a:xfrm rot="10800000">
                            <a:off x="1314450" y="1057275"/>
                            <a:ext cx="304800" cy="106330"/>
                          </a:xfrm>
                          <a:prstGeom prst="rightArrow">
                            <a:avLst>
                              <a:gd name="adj1" fmla="val 50000"/>
                              <a:gd name="adj2" fmla="val 47161"/>
                            </a:avLst>
                          </a:prstGeom>
                          <a:solidFill>
                            <a:srgbClr val="C0504D">
                              <a:lumMod val="20000"/>
                              <a:lumOff val="80000"/>
                            </a:srgbClr>
                          </a:solidFill>
                          <a:ln w="2540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Šipka doprava 14"/>
                        <wps:cNvSpPr/>
                        <wps:spPr>
                          <a:xfrm rot="5400000">
                            <a:off x="2038350" y="1438275"/>
                            <a:ext cx="304800" cy="106330"/>
                          </a:xfrm>
                          <a:prstGeom prst="rightArrow">
                            <a:avLst>
                              <a:gd name="adj1" fmla="val 50000"/>
                              <a:gd name="adj2" fmla="val 47161"/>
                            </a:avLst>
                          </a:prstGeom>
                          <a:solidFill>
                            <a:srgbClr val="C0504D">
                              <a:lumMod val="20000"/>
                              <a:lumOff val="80000"/>
                            </a:srgbClr>
                          </a:solidFill>
                          <a:ln w="2540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6" o:spid="_x0000_s1026" style="position:absolute;left:0;text-align:left;margin-left:40.9pt;margin-top:7.2pt;width:331.5pt;height:169.5pt;z-index:251713536" coordsize="42100,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">
                <v:rect id="Obdélník 4" o:spid="_x0000_s1027" style="position:absolute;left:16097;top:8477;width:1114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H+8EA&#10;AADaAAAADwAAAGRycy9kb3ducmV2LnhtbESPwWrDMBBE74H+g9hCbrEc0xbjRjGhtE2vdXrwcbE2&#10;som1MpZqO38fBQo9DjPzhtmVi+3FRKPvHCvYJikI4sbpjo2Cn9PHJgfhA7LG3jEpuJKHcv+w2mGh&#10;3czfNFXBiAhhX6CCNoShkNI3LVn0iRuIo3d2o8UQ5WikHnGOcNvLLE1fpMWO40KLA7211FyqX6tA&#10;V3y0z3UwWW3Oc5Zf08unfldq/bgcXkEEWsJ/+K/9pRU8wf1KvAFy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6R/vBAAAA2gAAAA8AAAAAAAAAAAAAAAAAmAIAAGRycy9kb3du&#10;cmV2LnhtbFBLBQYAAAAABAAEAPUAAACGAwAAAAA=&#10;" fillcolor="white [3201]" strokecolor="#622423 [1605]" strokeweight="2pt">
                  <v:textbox>
                    <w:txbxContent>
                      <w:p w:rsidR="0002583E" w:rsidRDefault="0002583E" w:rsidP="0002583E">
                        <w:pPr>
                          <w:jc w:val="center"/>
                        </w:pPr>
                        <w:r>
                          <w:t>Determinanty zdraví</w:t>
                        </w:r>
                      </w:p>
                    </w:txbxContent>
                  </v:textbox>
                </v:rect>
                <v:rect id="Obdélník 10" o:spid="_x0000_s1028" style="position:absolute;left:16859;width:1000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zvMMA&#10;AADbAAAADwAAAGRycy9kb3ducmV2LnhtbESPT2sCMRDF70K/Q5hCb5q1B5GtUYpSqF6K/+7DZswu&#10;biZLEtdtP33nIHib4b157zeL1eBb1VNMTWAD00kBirgKtmFn4HT8Gs9BpYxssQ1MBn4pwWr5Mlpg&#10;acOd99QfslMSwqlEA3XOXal1qmrymCahIxbtEqLHLGt02ka8S7hv9XtRzLTHhqWhxo7WNVXXw80b&#10;mPeV21zdjuPPZn9uLtsjb29/xry9Dp8foDIN+Wl+XH9bwRd6+UUG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SzvMMAAADbAAAADwAAAAAAAAAAAAAAAACYAgAAZHJzL2Rv&#10;d25yZXYueG1sUEsFBgAAAAAEAAQA9QAAAIgDAAAAAA==&#10;" fillcolor="white [3201]" strokecolor="#c0504d [3205]" strokeweight="2pt">
                  <v:textbox>
                    <w:txbxContent>
                      <w:p w:rsidR="0007144E" w:rsidRDefault="0007144E" w:rsidP="000C79BB">
                        <w:pPr>
                          <w:spacing w:line="240" w:lineRule="auto"/>
                          <w:jc w:val="center"/>
                        </w:pPr>
                        <w:proofErr w:type="gramStart"/>
                        <w:r>
                          <w:t>Genetika</w:t>
                        </w:r>
                        <w:r w:rsidR="000C79BB">
                          <w:t xml:space="preserve">     10</w:t>
                        </w:r>
                        <w:proofErr w:type="gramEnd"/>
                        <w:r w:rsidR="000C79BB">
                          <w:t>-15%</w:t>
                        </w:r>
                      </w:p>
                      <w:p w:rsidR="000C79BB" w:rsidRDefault="000C79BB" w:rsidP="0007144E">
                        <w:pPr>
                          <w:jc w:val="center"/>
                        </w:pPr>
                        <w:r>
                          <w:t>10</w:t>
                        </w:r>
                      </w:p>
                      <w:p w:rsidR="000C79BB" w:rsidRDefault="000C79BB" w:rsidP="0007144E">
                        <w:pPr>
                          <w:jc w:val="center"/>
                        </w:pPr>
                      </w:p>
                    </w:txbxContent>
                  </v:textbox>
                </v:rect>
                <v:rect id="Obdélník 11" o:spid="_x0000_s1029" style="position:absolute;left:15716;top:16573;width:13144;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WJ8EA&#10;AADbAAAADwAAAGRycy9kb3ducmV2LnhtbERPTWvCQBC9C/6HZQredGMPElJXKQ1C9VKi7X3Ijptg&#10;djbsbmLsr+8WCr3N433Odj/ZTozkQ+tYwXqVgSCunW7ZKPi8HJY5iBCRNXaOScGDAux389kWC+3u&#10;XNF4jkakEA4FKmhi7AspQ92QxbByPXHirs5bjAl6I7XHewq3nXzOso202HJqaLCnt4bq23mwCvKx&#10;NuXNnNh/lNVXez1e+Dh8K7V4ml5fQESa4r/4z/2u0/w1/P6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oFifBAAAA2wAAAA8AAAAAAAAAAAAAAAAAmAIAAGRycy9kb3du&#10;cmV2LnhtbFBLBQYAAAAABAAEAPUAAACGAwAAAAA=&#10;" fillcolor="white [3201]" strokecolor="#c0504d [3205]" strokeweight="2pt">
                  <v:textbox>
                    <w:txbxContent>
                      <w:p w:rsidR="000C79BB" w:rsidRDefault="00AF75CE" w:rsidP="00AF75CE">
                        <w:pPr>
                          <w:spacing w:after="0" w:line="240" w:lineRule="auto"/>
                        </w:pPr>
                        <w:r>
                          <w:t xml:space="preserve">   </w:t>
                        </w:r>
                        <w:r w:rsidR="000C79BB">
                          <w:t xml:space="preserve">  </w:t>
                        </w:r>
                        <w:r>
                          <w:t xml:space="preserve">    </w:t>
                        </w:r>
                        <w:r w:rsidR="0002583E">
                          <w:t>Prostředí</w:t>
                        </w:r>
                        <w:r w:rsidR="000C79BB">
                          <w:t xml:space="preserve"> </w:t>
                        </w:r>
                      </w:p>
                      <w:p w:rsidR="0002583E" w:rsidRDefault="00AF75CE" w:rsidP="00AF75CE">
                        <w:pPr>
                          <w:spacing w:after="0" w:line="240" w:lineRule="auto"/>
                        </w:pPr>
                        <w:r>
                          <w:t xml:space="preserve">      </w:t>
                        </w:r>
                        <w:r w:rsidR="000C79BB">
                          <w:t xml:space="preserve"> </w:t>
                        </w:r>
                        <w:r>
                          <w:t xml:space="preserve">     </w:t>
                        </w:r>
                        <w:r w:rsidR="000C79BB">
                          <w:t>20-25 %</w:t>
                        </w:r>
                      </w:p>
                    </w:txbxContent>
                  </v:textbox>
                </v:rect>
                <v:rect id="Obdélník 12" o:spid="_x0000_s1030" style="position:absolute;top:7524;width:12858;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IUL8A&#10;AADbAAAADwAAAGRycy9kb3ducmV2LnhtbERPS4vCMBC+L+x/CLOwt22qh0WqUURZWL2Ir/vQjGmx&#10;mZQk1uqvN4LgbT6+50xmvW1ERz7UjhUMshwEcel0zUbBYf/3MwIRIrLGxjEpuFGA2fTzY4KFdlfe&#10;UreLRqQQDgUqqGJsCylDWZHFkLmWOHEn5y3GBL2R2uM1hdtGDvP8V1qsOTVU2NKiovK8u1gFo640&#10;y7NZs98st8f6tNrz6nJX6vurn49BROrjW/xy/+s0fwjPX9IBcv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OohQvwAAANsAAAAPAAAAAAAAAAAAAAAAAJgCAABkcnMvZG93bnJl&#10;di54bWxQSwUGAAAAAAQABAD1AAAAhAMAAAAA&#10;" fillcolor="white [3201]" strokecolor="#c0504d [3205]" strokeweight="2pt">
                  <v:textbox>
                    <w:txbxContent>
                      <w:p w:rsidR="0007144E" w:rsidRDefault="0007144E" w:rsidP="00AF75CE">
                        <w:pPr>
                          <w:spacing w:after="0" w:line="240" w:lineRule="auto"/>
                          <w:jc w:val="center"/>
                        </w:pPr>
                        <w:r>
                          <w:t>Životní styl</w:t>
                        </w:r>
                        <w:r w:rsidR="00C04B0A">
                          <w:t xml:space="preserve">         </w:t>
                        </w:r>
                        <w:r w:rsidR="000C79BB">
                          <w:t xml:space="preserve"> 50-60 %</w:t>
                        </w:r>
                      </w:p>
                    </w:txbxContent>
                  </v:textbox>
                </v:rect>
                <v:rect id="Obdélník 13" o:spid="_x0000_s1031" style="position:absolute;left:30765;top:7429;width:11335;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ty78A&#10;AADbAAAADwAAAGRycy9kb3ducmV2LnhtbERPTYvCMBC9C/6HMII3TV1BpGuURVlQL4u6ex+aMS02&#10;k5LEWv31G0HwNo/3OYtVZ2vRkg+VYwWTcQaCuHC6YqPg9/Q9moMIEVlj7ZgU3CnAatnvLTDX7sYH&#10;ao/RiBTCIUcFZYxNLmUoSrIYxq4hTtzZeYsxQW+k9nhL4baWH1k2kxYrTg0lNrQuqbgcr1bBvC3M&#10;5mL27H82h7/qvDvx7vpQajjovj5BROriW/xyb3WaP4XnL+k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di3LvwAAANsAAAAPAAAAAAAAAAAAAAAAAJgCAABkcnMvZG93bnJl&#10;di54bWxQSwUGAAAAAAQABAD1AAAAhAMAAAAA&#10;" fillcolor="white [3201]" strokecolor="#c0504d [3205]" strokeweight="2pt">
                  <v:textbox>
                    <w:txbxContent>
                      <w:p w:rsidR="00AF75CE" w:rsidRDefault="00AF75CE" w:rsidP="000C79BB">
                        <w:pPr>
                          <w:spacing w:after="0" w:line="240" w:lineRule="auto"/>
                          <w:jc w:val="center"/>
                        </w:pPr>
                      </w:p>
                      <w:p w:rsidR="000C79BB" w:rsidRDefault="0007144E" w:rsidP="000C79BB">
                        <w:pPr>
                          <w:spacing w:after="0" w:line="240" w:lineRule="auto"/>
                          <w:jc w:val="center"/>
                        </w:pPr>
                        <w:r>
                          <w:t>Zdravotní péče</w:t>
                        </w:r>
                      </w:p>
                      <w:p w:rsidR="0007144E" w:rsidRDefault="000C79BB" w:rsidP="000C79BB">
                        <w:pPr>
                          <w:spacing w:after="0" w:line="240" w:lineRule="auto"/>
                          <w:jc w:val="center"/>
                        </w:pPr>
                        <w:r>
                          <w:t xml:space="preserve"> 15-20 %</w:t>
                        </w:r>
                      </w:p>
                      <w:p w:rsidR="000C79BB" w:rsidRDefault="000C79BB" w:rsidP="000C79BB"/>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 o:spid="_x0000_s1032" type="#_x0000_t13" style="position:absolute;left:20193;top:6095;width:3048;height:10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nUq8IA&#10;AADaAAAADwAAAGRycy9kb3ducmV2LnhtbESP0WoCMRRE3wv+Q7iFvtWkilW2RlFBqtCHVvcDLpvb&#10;zbKbmyWJuv37Rij0cZiZM8xyPbhOXCnExrOGl7ECQVx503CtoTzvnxcgYkI22HkmDT8UYb0aPSyx&#10;MP7GX3Q9pVpkCMcCNdiU+kLKWFlyGMe+J87etw8OU5ahlibgLcNdJydKvUqHDecFiz3tLFXt6eI0&#10;zD/f7XEWPg4tnlVpzLEtt4PS+ulx2LyBSDSk//Bf+2A0TOF+Jd8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dSrwgAAANoAAAAPAAAAAAAAAAAAAAAAAJgCAABkcnMvZG93&#10;bnJldi54bWxQSwUGAAAAAAQABAD1AAAAhwMAAAAA&#10;" adj="18046" fillcolor="#f2dbdb [661]" strokecolor="#d99594 [1941]" strokeweight="2pt"/>
                <v:shape id="Šipka doprava 5" o:spid="_x0000_s1033" type="#_x0000_t13" style="position:absolute;left:27432;top:10191;width:3048;height:1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m7MYA&#10;AADaAAAADwAAAGRycy9kb3ducmV2LnhtbESPT2vCQBTE70K/w/IK3sxGUSmpq5RS/1DoQdtDj6/Z&#10;1yQk+zburjH207tCweMwM79hFqveNKIj5yvLCsZJCoI4t7riQsHX53r0BMIHZI2NZVJwIQ+r5cNg&#10;gZm2Z95TdwiFiBD2GSooQ2gzKX1ekkGf2JY4er/WGQxRukJqh+cIN42cpOlcGqw4LpTY0mtJeX04&#10;GQVtXc+L783Pdjc9jj+mb677u7x3Sg0f+5dnEIH6cA//t3dawQxuV+IN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Km7MYAAADaAAAADwAAAAAAAAAAAAAAAACYAgAAZHJz&#10;L2Rvd25yZXYueG1sUEsFBgAAAAAEAAQA9QAAAIsDAAAAAA==&#10;" adj="17419" fillcolor="#f2dcdb" strokecolor="#d99694" strokeweight="2pt"/>
                <v:shape id="Šipka doprava 15" o:spid="_x0000_s1034" type="#_x0000_t13" style="position:absolute;left:13144;top:10572;width:3048;height:106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ycAA&#10;AADbAAAADwAAAGRycy9kb3ducmV2LnhtbERPzWrCQBC+F3yHZQre6iYFrY1uxAaFHtPYBxizYxKa&#10;nY3ZNYlv3xUKvc3H9zvb3WRaMVDvGssK4kUEgri0uuFKwffp+LIG4TyyxtYyKbiTg106e9piou3I&#10;XzQUvhIhhF2CCmrvu0RKV9Zk0C1sRxy4i+0N+gD7SuoexxBuWvkaRStpsOHQUGNHWU3lT3EzCt4w&#10;L0f6wGt7zobL4b2ounifKzV/nvYbEJ4m/y/+c3/qMH8Jj1/CATL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3ycAAAADbAAAADwAAAAAAAAAAAAAAAACYAgAAZHJzL2Rvd25y&#10;ZXYueG1sUEsFBgAAAAAEAAQA9QAAAIUDAAAAAA==&#10;" adj="18046" fillcolor="#f2dcdb" strokecolor="#d99694" strokeweight="2pt"/>
                <v:shape id="Šipka doprava 14" o:spid="_x0000_s1035" type="#_x0000_t13" style="position:absolute;left:20383;top:14382;width:3048;height:10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csccA&#10;AADbAAAADwAAAGRycy9kb3ducmV2LnhtbESPT2vCQBDF70K/wzIFb2ZT+4eSukpRKopKqebQ3qbZ&#10;aTY0Oxuya4zfvlsQvM3w3u/Nm8mst7XoqPWVYwV3SQqCuHC64lJBfngbPYPwAVlj7ZgUnMnDbHoz&#10;mGCm3Yk/qNuHUsQQ9hkqMCE0mZS+MGTRJ64hjtqPay2GuLal1C2eYrit5ThNn6TFiuMFgw3NDRW/&#10;+6ONNR7z7WGzy++XX6Zcv39/nm23mCs1vO1fX0AE6sPVfKFXOnIP8P9LHE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xnLHHAAAA2wAAAA8AAAAAAAAAAAAAAAAAmAIAAGRy&#10;cy9kb3ducmV2LnhtbFBLBQYAAAAABAAEAPUAAACMAwAAAAA=&#10;" adj="18046" fillcolor="#f2dcdb" strokecolor="#d99694" strokeweight="2pt"/>
              </v:group>
            </w:pict>
          </mc:Fallback>
        </mc:AlternateContent>
      </w:r>
    </w:p>
    <w:p w:rsidR="0002583E" w:rsidRDefault="0002583E" w:rsidP="00521422">
      <w:pPr>
        <w:jc w:val="both"/>
      </w:pPr>
    </w:p>
    <w:p w:rsidR="0002583E" w:rsidRDefault="0002583E" w:rsidP="00521422">
      <w:pPr>
        <w:tabs>
          <w:tab w:val="left" w:pos="5880"/>
        </w:tabs>
        <w:jc w:val="both"/>
      </w:pPr>
      <w:r>
        <w:tab/>
      </w:r>
    </w:p>
    <w:p w:rsidR="0002583E" w:rsidRDefault="0002583E" w:rsidP="00521422">
      <w:pPr>
        <w:jc w:val="both"/>
        <w:rPr>
          <w:sz w:val="28"/>
          <w:szCs w:val="28"/>
          <w:u w:val="single"/>
        </w:rPr>
      </w:pPr>
    </w:p>
    <w:p w:rsidR="0002583E" w:rsidRDefault="0002583E" w:rsidP="00521422">
      <w:pPr>
        <w:jc w:val="both"/>
        <w:rPr>
          <w:sz w:val="28"/>
          <w:szCs w:val="28"/>
          <w:u w:val="single"/>
        </w:rPr>
      </w:pPr>
    </w:p>
    <w:p w:rsidR="0002583E" w:rsidRDefault="0002583E" w:rsidP="00521422">
      <w:pPr>
        <w:jc w:val="both"/>
        <w:rPr>
          <w:sz w:val="28"/>
          <w:szCs w:val="28"/>
          <w:u w:val="single"/>
        </w:rPr>
      </w:pPr>
    </w:p>
    <w:p w:rsidR="0002583E" w:rsidRDefault="0002583E" w:rsidP="00521422">
      <w:pPr>
        <w:jc w:val="both"/>
        <w:rPr>
          <w:sz w:val="28"/>
          <w:szCs w:val="28"/>
          <w:u w:val="single"/>
        </w:rPr>
      </w:pPr>
    </w:p>
    <w:p w:rsidR="000C79BB" w:rsidRDefault="000C79BB" w:rsidP="00521422">
      <w:pPr>
        <w:jc w:val="both"/>
        <w:rPr>
          <w:sz w:val="28"/>
          <w:szCs w:val="28"/>
          <w:u w:val="single"/>
        </w:rPr>
      </w:pPr>
    </w:p>
    <w:p w:rsidR="000C79BB" w:rsidRPr="000C79BB" w:rsidRDefault="000C79BB" w:rsidP="00521422">
      <w:pPr>
        <w:jc w:val="both"/>
      </w:pPr>
      <w:r w:rsidRPr="000C79BB">
        <w:t>Schéma 1 Determinanty zdraví</w:t>
      </w:r>
      <w:r>
        <w:t xml:space="preserve"> (upraveno dle </w:t>
      </w:r>
      <w:proofErr w:type="gramStart"/>
      <w:r>
        <w:t>Machová</w:t>
      </w:r>
      <w:proofErr w:type="gramEnd"/>
      <w:r>
        <w:t>, 2009)</w:t>
      </w:r>
    </w:p>
    <w:p w:rsidR="00D1246C" w:rsidRDefault="00B627D3" w:rsidP="00521422">
      <w:pPr>
        <w:jc w:val="both"/>
      </w:pPr>
      <w:r>
        <w:t xml:space="preserve">Zvýše uvedeného vyplývá, že </w:t>
      </w:r>
      <w:r w:rsidRPr="00B627D3">
        <w:rPr>
          <w:b/>
        </w:rPr>
        <w:t>životní styl</w:t>
      </w:r>
      <w:r w:rsidR="00BE7309">
        <w:rPr>
          <w:b/>
        </w:rPr>
        <w:t xml:space="preserve"> </w:t>
      </w:r>
      <w:r w:rsidR="00BE7309" w:rsidRPr="00BE7309">
        <w:t>(</w:t>
      </w:r>
      <w:proofErr w:type="spellStart"/>
      <w:r w:rsidR="00BE7309" w:rsidRPr="00BE7309">
        <w:t>lifestyle</w:t>
      </w:r>
      <w:proofErr w:type="spellEnd"/>
      <w:r w:rsidR="00BE7309" w:rsidRPr="00BE7309">
        <w:t>)</w:t>
      </w:r>
      <w:r>
        <w:t xml:space="preserve"> ovlivňuje zdraví nejvíce a to z 50-60 %. Zároveň je ze všech uvedených determinant jednotlivcem ovlivnitelný nejsnáze. Životním stylem rozumíme způsoby chování působící na zdraví pozitivně či negativně. V rozhodování ve výběru chování hrají významnou roli věk, výchova, vzdělání, znalosti, postoje, ekonomická situace</w:t>
      </w:r>
      <w:r w:rsidR="001C44A1">
        <w:t>, pohlaví atd. Životní styl zahrnuje šest základních oblastí: výživu, pohybovou aktivitu, rizikové chování (závislosti), sexuálně reprodukční oblast, denní režim a duševní hygienu. V současnosti jsou za problémové oblasti životního stylu dětí považovány nesprávná výživa, stravovací návyky a nedostatek pohybové aktivity</w:t>
      </w:r>
      <w:r w:rsidR="00D1246C">
        <w:t xml:space="preserve">. </w:t>
      </w:r>
    </w:p>
    <w:p w:rsidR="00D1246C" w:rsidRPr="00D1246C" w:rsidRDefault="001C44A1" w:rsidP="00521422">
      <w:pPr>
        <w:jc w:val="both"/>
        <w:rPr>
          <w:rFonts w:cs="Times New Roman"/>
        </w:rPr>
      </w:pPr>
      <w:r>
        <w:t xml:space="preserve">V důsledku nesprávného životního stylu vzniká celá řada chorob tzv. </w:t>
      </w:r>
      <w:r w:rsidRPr="001C44A1">
        <w:rPr>
          <w:b/>
        </w:rPr>
        <w:t>neinfekční epidemie</w:t>
      </w:r>
      <w:r>
        <w:t xml:space="preserve"> (dříve civilizační choroby). Tyto choroby jsou svým výskytem typick</w:t>
      </w:r>
      <w:r w:rsidR="00CC7484">
        <w:t xml:space="preserve">é pro vyspělé země. </w:t>
      </w:r>
      <w:r w:rsidR="00D1246C">
        <w:t xml:space="preserve">V etiologii vzniku neinfekčních </w:t>
      </w:r>
      <w:proofErr w:type="spellStart"/>
      <w:r w:rsidR="00D1246C">
        <w:t>epidemíí</w:t>
      </w:r>
      <w:proofErr w:type="spellEnd"/>
      <w:r w:rsidR="00D1246C">
        <w:t xml:space="preserve"> dominuje příjem kaloricky bohatých potravin, jídel </w:t>
      </w:r>
      <w:r w:rsidR="00351319">
        <w:t>tučných a přeslazených</w:t>
      </w:r>
      <w:r w:rsidR="00D1246C">
        <w:t xml:space="preserve">, zvýšený příjem soli, dále nedostatek pohybové aktivity, nadměrné užívání alkoholu, kouření a stres. </w:t>
      </w:r>
      <w:r w:rsidR="00CC7484">
        <w:t>Jedná se o k</w:t>
      </w:r>
      <w:r w:rsidR="00CC7484">
        <w:rPr>
          <w:rFonts w:cs="Times New Roman"/>
          <w:bCs/>
        </w:rPr>
        <w:t xml:space="preserve">ardiovaskulární choroby, obezitu, diabetes </w:t>
      </w:r>
      <w:proofErr w:type="spellStart"/>
      <w:r w:rsidR="00CC7484">
        <w:rPr>
          <w:rFonts w:cs="Times New Roman"/>
          <w:bCs/>
        </w:rPr>
        <w:t>mellitus</w:t>
      </w:r>
      <w:proofErr w:type="spellEnd"/>
      <w:r w:rsidR="00CC7484">
        <w:rPr>
          <w:rFonts w:cs="Times New Roman"/>
          <w:bCs/>
        </w:rPr>
        <w:t xml:space="preserve"> II. typu (cukrovku), metabolický syndrom X, některá nádorová onemocnění (např. </w:t>
      </w:r>
      <w:r w:rsidR="00D1246C" w:rsidRPr="00D1246C">
        <w:rPr>
          <w:rFonts w:cs="Times New Roman"/>
        </w:rPr>
        <w:t xml:space="preserve">karcinom tlustého střeva a konečníku, karcinom </w:t>
      </w:r>
      <w:r w:rsidR="00D1246C" w:rsidRPr="00D1246C">
        <w:rPr>
          <w:rFonts w:cs="Times New Roman"/>
        </w:rPr>
        <w:lastRenderedPageBreak/>
        <w:t xml:space="preserve">průdušek a plic, </w:t>
      </w:r>
      <w:r w:rsidR="00CC7484">
        <w:rPr>
          <w:rFonts w:cs="Times New Roman"/>
        </w:rPr>
        <w:t>karcinom kůže,</w:t>
      </w:r>
      <w:r w:rsidR="00D1246C" w:rsidRPr="00D1246C">
        <w:rPr>
          <w:rFonts w:cs="Times New Roman"/>
        </w:rPr>
        <w:t xml:space="preserve"> k</w:t>
      </w:r>
      <w:r w:rsidR="00351319">
        <w:rPr>
          <w:rFonts w:cs="Times New Roman"/>
        </w:rPr>
        <w:t xml:space="preserve">arcinom </w:t>
      </w:r>
      <w:r w:rsidR="00CC7484">
        <w:rPr>
          <w:rFonts w:cs="Times New Roman"/>
        </w:rPr>
        <w:t>prsu), chronickou obstrukční plicní nemoc (CHOPN), osteoporózu a zubní kaz.</w:t>
      </w:r>
    </w:p>
    <w:p w:rsidR="00D1246C" w:rsidRPr="00622457" w:rsidRDefault="00AF75CE" w:rsidP="008E4AF5">
      <w:pPr>
        <w:jc w:val="both"/>
        <w:rPr>
          <w:b/>
          <w:sz w:val="32"/>
          <w:szCs w:val="32"/>
        </w:rPr>
      </w:pPr>
      <w:r w:rsidRPr="00622457">
        <w:rPr>
          <w:b/>
          <w:sz w:val="32"/>
          <w:szCs w:val="32"/>
        </w:rPr>
        <w:t>Vybrané neinfekční epidemie</w:t>
      </w:r>
    </w:p>
    <w:p w:rsidR="00AF75CE" w:rsidRDefault="00AF75CE" w:rsidP="00BE7309">
      <w:pPr>
        <w:jc w:val="both"/>
        <w:rPr>
          <w:b/>
        </w:rPr>
      </w:pPr>
      <w:r>
        <w:rPr>
          <w:b/>
        </w:rPr>
        <w:t>Nadváha a obezita</w:t>
      </w:r>
    </w:p>
    <w:p w:rsidR="00C831A5" w:rsidRDefault="002B4A6D" w:rsidP="00BE7309">
      <w:pPr>
        <w:jc w:val="both"/>
      </w:pPr>
      <w:r w:rsidRPr="009072E0">
        <w:rPr>
          <w:b/>
        </w:rPr>
        <w:t>Nadváha a obezita</w:t>
      </w:r>
      <w:r w:rsidRPr="002B4A6D">
        <w:t xml:space="preserve"> je způsobena nadměrným hromaděním tuku v podkoží a kolem vnitřních orgánů, projevující se zvýšenou tělesnou hmotností s ohledem na věk, pohlaví a tělesnou výšku</w:t>
      </w:r>
      <w:r w:rsidR="00257E66">
        <w:t xml:space="preserve"> </w:t>
      </w:r>
      <w:r w:rsidRPr="002B4A6D">
        <w:t xml:space="preserve">(Machová, 2009). </w:t>
      </w:r>
    </w:p>
    <w:p w:rsidR="007D77E1" w:rsidRPr="007D77E1" w:rsidRDefault="002B4A6D" w:rsidP="00BE7309">
      <w:pPr>
        <w:suppressAutoHyphens/>
        <w:jc w:val="both"/>
      </w:pPr>
      <w:r w:rsidRPr="002B4A6D">
        <w:t>V současné době</w:t>
      </w:r>
      <w:r>
        <w:t xml:space="preserve"> </w:t>
      </w:r>
      <w:r w:rsidR="0068340F">
        <w:t xml:space="preserve">je považována </w:t>
      </w:r>
      <w:r>
        <w:t>incidence nadváhy a obezity u dětí za alarmující.</w:t>
      </w:r>
      <w:r w:rsidR="0068340F">
        <w:t xml:space="preserve"> Nadváhou trpí 24 %</w:t>
      </w:r>
      <w:r w:rsidR="00C831A5">
        <w:t xml:space="preserve">, </w:t>
      </w:r>
      <w:r w:rsidR="0068340F">
        <w:t>obezitou 14 % dět</w:t>
      </w:r>
      <w:r w:rsidR="00C32F3D">
        <w:t>í (</w:t>
      </w:r>
      <w:r w:rsidR="007D77E1">
        <w:t xml:space="preserve">z toho </w:t>
      </w:r>
      <w:r w:rsidR="00C32F3D">
        <w:t xml:space="preserve">4 % obezitou monstrózní), což je </w:t>
      </w:r>
      <w:r w:rsidR="0068340F">
        <w:t>celkem tém</w:t>
      </w:r>
      <w:r w:rsidR="00C32F3D">
        <w:t>ěř 40 %</w:t>
      </w:r>
      <w:r w:rsidR="007D77E1">
        <w:t xml:space="preserve"> dětí s nadváhou a obezitou. Bylo prokázáno, že 70-80 % dětí, které trpí obezitou, zůstává obézních i v dospělosti</w:t>
      </w:r>
      <w:r w:rsidR="00C32F3D">
        <w:t xml:space="preserve"> (www.sdetmiprotiobezitě.cz) </w:t>
      </w:r>
      <w:r w:rsidR="00C831A5">
        <w:t>Hlavními příčinami</w:t>
      </w:r>
      <w:r w:rsidR="00002F50">
        <w:t xml:space="preserve"> nadváhy a obezity u dětí jsou nadměrný energetický příjem</w:t>
      </w:r>
      <w:r w:rsidR="00C831A5">
        <w:t xml:space="preserve"> a </w:t>
      </w:r>
      <w:r w:rsidR="00002F50">
        <w:t>nedostatek pohybové aktiv</w:t>
      </w:r>
      <w:r w:rsidR="00C831A5">
        <w:t xml:space="preserve">ity, tedy nezdravý životní styl. Prokázán byl </w:t>
      </w:r>
      <w:r w:rsidR="00002F50">
        <w:t xml:space="preserve">také </w:t>
      </w:r>
      <w:r w:rsidR="00C831A5">
        <w:t xml:space="preserve">vliv </w:t>
      </w:r>
      <w:r w:rsidR="00002F50">
        <w:t>dědičnost</w:t>
      </w:r>
      <w:r w:rsidR="00C831A5">
        <w:t>i</w:t>
      </w:r>
      <w:r w:rsidR="00002F50">
        <w:t xml:space="preserve"> a rezistence na </w:t>
      </w:r>
      <w:proofErr w:type="spellStart"/>
      <w:r w:rsidR="00002F50">
        <w:t>leptin</w:t>
      </w:r>
      <w:proofErr w:type="spellEnd"/>
      <w:r w:rsidR="00002F50">
        <w:t xml:space="preserve">, což je bílkovina regulující pocit sytosti v hypotalamu. Aktuální data o životním stylu dětí </w:t>
      </w:r>
      <w:r w:rsidR="00C32F3D">
        <w:t xml:space="preserve">a mládeže uvádí studie </w:t>
      </w:r>
      <w:r w:rsidR="00C32F3D" w:rsidRPr="00C831A5">
        <w:rPr>
          <w:b/>
        </w:rPr>
        <w:t>HBSC</w:t>
      </w:r>
      <w:r w:rsidR="00C32F3D">
        <w:t xml:space="preserve"> (</w:t>
      </w:r>
      <w:proofErr w:type="spellStart"/>
      <w:r w:rsidR="00C32F3D">
        <w:t>Hea</w:t>
      </w:r>
      <w:r w:rsidR="00002F50">
        <w:t>lth</w:t>
      </w:r>
      <w:proofErr w:type="spellEnd"/>
      <w:r w:rsidR="00002F50">
        <w:t xml:space="preserve"> </w:t>
      </w:r>
      <w:proofErr w:type="spellStart"/>
      <w:r w:rsidR="00002F50">
        <w:t>Behavior</w:t>
      </w:r>
      <w:proofErr w:type="spellEnd"/>
      <w:r w:rsidR="00002F50">
        <w:t xml:space="preserve"> in </w:t>
      </w:r>
      <w:proofErr w:type="spellStart"/>
      <w:r w:rsidR="00002F50">
        <w:t>School-Aged</w:t>
      </w:r>
      <w:proofErr w:type="spellEnd"/>
      <w:r w:rsidR="00002F50">
        <w:t xml:space="preserve"> </w:t>
      </w:r>
      <w:proofErr w:type="spellStart"/>
      <w:r w:rsidR="00002F50">
        <w:t>Children</w:t>
      </w:r>
      <w:proofErr w:type="spellEnd"/>
      <w:r w:rsidR="00C32F3D">
        <w:t>)</w:t>
      </w:r>
      <w:r w:rsidR="00002F50">
        <w:t>,</w:t>
      </w:r>
      <w:r w:rsidR="00B208F2">
        <w:t xml:space="preserve"> z roku 2010,</w:t>
      </w:r>
      <w:r w:rsidR="00002F50">
        <w:t xml:space="preserve"> kterou organizova</w:t>
      </w:r>
      <w:r w:rsidR="00C32F3D">
        <w:t>la Světová zdravotnická organiza</w:t>
      </w:r>
      <w:r w:rsidR="00002F50">
        <w:t xml:space="preserve">ce ve 43 zemích včetně České republiky. </w:t>
      </w:r>
      <w:r w:rsidR="00C831A5">
        <w:t>(v</w:t>
      </w:r>
      <w:r w:rsidR="00002F50">
        <w:t xml:space="preserve">íce na </w:t>
      </w:r>
      <w:hyperlink r:id="rId9" w:history="1">
        <w:r w:rsidR="00002F50" w:rsidRPr="00002F50">
          <w:rPr>
            <w:rStyle w:val="Hypertextovodkaz"/>
            <w:color w:val="auto"/>
            <w:u w:val="none"/>
          </w:rPr>
          <w:t>www.hbsc.upol.cz</w:t>
        </w:r>
      </w:hyperlink>
      <w:r w:rsidR="00002F50" w:rsidRPr="00002F50">
        <w:t>.</w:t>
      </w:r>
      <w:r w:rsidR="00C831A5">
        <w:t xml:space="preserve">) S výskytem obezity se pojí řada zdravotních komplikací, jako je postižení pohybového aparátu (kloubů, zad), výskyt cukrovky 2. typu, zvýšený výskyt chorob srdce a cév (infarkt myokardu, cévní mozková příhoda), některé typy nádorových onemocnění (např. rakovina prsu). </w:t>
      </w:r>
      <w:r w:rsidR="004042CA">
        <w:rPr>
          <w:rFonts w:cs="Arial"/>
        </w:rPr>
        <w:t>Tyto závažné zdravotní komplikace mají významný dopad socioekonomický</w:t>
      </w:r>
      <w:r w:rsidR="001C4695">
        <w:rPr>
          <w:rFonts w:cs="Arial"/>
        </w:rPr>
        <w:t>, spojený se sníženým ekonomickým uplatněním jedinců a zvýšenými náklady na zdravotní péči.</w:t>
      </w:r>
      <w:r w:rsidR="007D77E1">
        <w:rPr>
          <w:rFonts w:cs="Arial"/>
        </w:rPr>
        <w:t xml:space="preserve"> V prevenci </w:t>
      </w:r>
      <w:r w:rsidR="007D77E1" w:rsidRPr="007D77E1">
        <w:rPr>
          <w:rFonts w:cs="Arial"/>
        </w:rPr>
        <w:t>nadváhy a obezity je nutné se zaměřit na vyvolávající příčiny:</w:t>
      </w:r>
    </w:p>
    <w:p w:rsidR="007D77E1" w:rsidRPr="007D77E1" w:rsidRDefault="007D77E1" w:rsidP="007D77E1">
      <w:pPr>
        <w:pStyle w:val="Odstavecseseznamem"/>
        <w:numPr>
          <w:ilvl w:val="0"/>
          <w:numId w:val="9"/>
        </w:numPr>
        <w:suppressAutoHyphens/>
        <w:spacing w:line="276" w:lineRule="auto"/>
        <w:jc w:val="both"/>
        <w:rPr>
          <w:rFonts w:asciiTheme="minorHAnsi" w:hAnsiTheme="minorHAnsi" w:cs="Arial"/>
          <w:i/>
          <w:sz w:val="22"/>
          <w:szCs w:val="22"/>
        </w:rPr>
      </w:pPr>
      <w:r w:rsidRPr="007D77E1">
        <w:rPr>
          <w:rFonts w:asciiTheme="minorHAnsi" w:eastAsia="Calibri" w:hAnsiTheme="minorHAnsi" w:cs="Arial"/>
          <w:sz w:val="22"/>
          <w:szCs w:val="22"/>
          <w:lang w:eastAsia="ar-SA"/>
        </w:rPr>
        <w:t>vyvážená strava, správné stravovací návyky</w:t>
      </w:r>
      <w:r>
        <w:rPr>
          <w:rFonts w:asciiTheme="minorHAnsi" w:eastAsia="Calibri" w:hAnsiTheme="minorHAnsi" w:cs="Arial"/>
          <w:sz w:val="22"/>
          <w:szCs w:val="22"/>
          <w:lang w:eastAsia="ar-SA"/>
        </w:rPr>
        <w:t>,</w:t>
      </w:r>
    </w:p>
    <w:p w:rsidR="007D77E1" w:rsidRPr="007D77E1" w:rsidRDefault="007D77E1" w:rsidP="007D77E1">
      <w:pPr>
        <w:pStyle w:val="Odstavecseseznamem"/>
        <w:numPr>
          <w:ilvl w:val="0"/>
          <w:numId w:val="9"/>
        </w:numPr>
        <w:suppressAutoHyphens/>
        <w:spacing w:line="276" w:lineRule="auto"/>
        <w:jc w:val="both"/>
        <w:rPr>
          <w:rFonts w:asciiTheme="minorHAnsi" w:hAnsiTheme="minorHAnsi" w:cs="Arial"/>
          <w:i/>
          <w:sz w:val="22"/>
          <w:szCs w:val="22"/>
        </w:rPr>
      </w:pPr>
      <w:r w:rsidRPr="007D77E1">
        <w:rPr>
          <w:rFonts w:asciiTheme="minorHAnsi" w:eastAsia="Calibri" w:hAnsiTheme="minorHAnsi" w:cs="Arial"/>
          <w:sz w:val="22"/>
          <w:szCs w:val="22"/>
          <w:lang w:eastAsia="ar-SA"/>
        </w:rPr>
        <w:t>dostatečná pohybová aktivita</w:t>
      </w:r>
      <w:r>
        <w:rPr>
          <w:rFonts w:asciiTheme="minorHAnsi" w:eastAsia="Calibri" w:hAnsiTheme="minorHAnsi" w:cs="Arial"/>
          <w:sz w:val="22"/>
          <w:szCs w:val="22"/>
          <w:lang w:eastAsia="ar-SA"/>
        </w:rPr>
        <w:t>,</w:t>
      </w:r>
    </w:p>
    <w:p w:rsidR="007D77E1" w:rsidRPr="00B208F2" w:rsidRDefault="007D77E1" w:rsidP="007D77E1">
      <w:pPr>
        <w:pStyle w:val="Odstavecseseznamem"/>
        <w:numPr>
          <w:ilvl w:val="0"/>
          <w:numId w:val="9"/>
        </w:numPr>
        <w:suppressAutoHyphens/>
        <w:spacing w:line="276" w:lineRule="auto"/>
        <w:jc w:val="both"/>
        <w:rPr>
          <w:rFonts w:asciiTheme="minorHAnsi" w:hAnsiTheme="minorHAnsi" w:cs="Arial"/>
          <w:i/>
          <w:sz w:val="22"/>
          <w:szCs w:val="22"/>
        </w:rPr>
      </w:pPr>
      <w:r>
        <w:rPr>
          <w:rFonts w:asciiTheme="minorHAnsi" w:eastAsia="Calibri" w:hAnsiTheme="minorHAnsi" w:cs="Arial"/>
          <w:sz w:val="22"/>
          <w:szCs w:val="22"/>
          <w:lang w:eastAsia="ar-SA"/>
        </w:rPr>
        <w:t>udržování normální tělesné hmotnosti.</w:t>
      </w:r>
    </w:p>
    <w:p w:rsidR="00B208F2" w:rsidRPr="007D77E1" w:rsidRDefault="00B208F2" w:rsidP="00B208F2">
      <w:pPr>
        <w:pStyle w:val="Odstavecseseznamem"/>
        <w:suppressAutoHyphens/>
        <w:spacing w:line="276" w:lineRule="auto"/>
        <w:ind w:left="720"/>
        <w:jc w:val="both"/>
        <w:rPr>
          <w:rFonts w:asciiTheme="minorHAnsi" w:hAnsiTheme="minorHAnsi" w:cs="Arial"/>
          <w:i/>
          <w:sz w:val="22"/>
          <w:szCs w:val="22"/>
        </w:rPr>
      </w:pPr>
    </w:p>
    <w:p w:rsidR="007D77E1" w:rsidRDefault="007D77E1" w:rsidP="007D77E1">
      <w:pPr>
        <w:suppressAutoHyphens/>
        <w:jc w:val="both"/>
        <w:rPr>
          <w:rFonts w:cs="Arial"/>
        </w:rPr>
      </w:pPr>
      <w:r>
        <w:rPr>
          <w:rFonts w:cs="Arial"/>
        </w:rPr>
        <w:t>V tomto ohledu je nezastupitelná role rodiny</w:t>
      </w:r>
      <w:r w:rsidR="00BE7309">
        <w:rPr>
          <w:rFonts w:cs="Arial"/>
        </w:rPr>
        <w:t>, která nese odpovědnost za životní styl a přístup ke zdraví všech jejich členů. Neopomenutelný je i vliv školy, zvláště učitele, který může dlouhodobě y systematicky působit na postoje a návyky dětí ve vztahu k životnímu stylu.</w:t>
      </w:r>
    </w:p>
    <w:p w:rsidR="00A67493" w:rsidRPr="00A67493" w:rsidRDefault="00A67493" w:rsidP="007D77E1">
      <w:pPr>
        <w:suppressAutoHyphens/>
        <w:jc w:val="both"/>
        <w:rPr>
          <w:rFonts w:cs="Arial"/>
          <w:b/>
        </w:rPr>
      </w:pPr>
      <w:r w:rsidRPr="00A67493">
        <w:rPr>
          <w:rFonts w:cs="Arial"/>
          <w:b/>
        </w:rPr>
        <w:t>Kardiovaskulární choroby (KVCH), choroby srdce a cév</w:t>
      </w:r>
    </w:p>
    <w:p w:rsidR="00C32F3D" w:rsidRDefault="00A67493" w:rsidP="00954502">
      <w:pPr>
        <w:jc w:val="both"/>
      </w:pPr>
      <w:r w:rsidRPr="009727C2">
        <w:rPr>
          <w:rFonts w:cs="Arial"/>
          <w:b/>
        </w:rPr>
        <w:t>KVCH</w:t>
      </w:r>
      <w:r w:rsidR="00BE7309" w:rsidRPr="00BE7309">
        <w:rPr>
          <w:rFonts w:cs="Arial"/>
        </w:rPr>
        <w:t xml:space="preserve"> vznikají </w:t>
      </w:r>
      <w:r w:rsidR="00D97A10">
        <w:rPr>
          <w:rFonts w:cs="Arial"/>
        </w:rPr>
        <w:t xml:space="preserve">v důsledku kornatění tepen (aterosklerózy). Ložisko (aterom) ve vnitřní stěně tepny způsobuje postupné zúžení a ucpání tepny. V důsledku změn dochází k infarktu myokardu (ucpání koronární tepny), cévní mozkové příhodě (prasknutí nebo uspání cévy v mozku), či postižení tepen dolních končetin. Na KVCH umírá přibližně 55 % mužů a 45 % žen, patří k nejčastějším příčinám obyvatel České republiky. </w:t>
      </w:r>
      <w:r w:rsidR="00954502">
        <w:rPr>
          <w:rFonts w:cs="Arial"/>
        </w:rPr>
        <w:t>K rizikovým faktorům vzniku KVCH patří kouření, obezita, vysoká hladina cholesterolu, vysoký krevní tlak, cukrovka, nedostatek pohybové aktivity. Z výčtu rizikových faktorů je zřejmé, že se opět jedná o hlavně důsledky nezdravého životního stylu. Podíl na výskytu KVCH má i pozitivní rodinná anamnéza (výskyt choroby v rodině) a mužské pohlaví. Z preventivních opatření je doporučeno nekouřit, věnovat se dostatečně aktivnímu pohybu a racionálně se stravovat. Opět připomínáme možnost aktivního působení učitele ve výchovně vzdělávacím procesu.</w:t>
      </w:r>
    </w:p>
    <w:p w:rsidR="00BE7309" w:rsidRPr="00BE7309" w:rsidRDefault="00BE7309" w:rsidP="00BE7309">
      <w:pPr>
        <w:jc w:val="both"/>
        <w:rPr>
          <w:rFonts w:cs="Arial"/>
          <w:b/>
        </w:rPr>
      </w:pPr>
      <w:r w:rsidRPr="00BE7309">
        <w:rPr>
          <w:rFonts w:cs="Arial"/>
          <w:b/>
        </w:rPr>
        <w:lastRenderedPageBreak/>
        <w:t>Metabolický syndrom X</w:t>
      </w:r>
    </w:p>
    <w:p w:rsidR="00BE7309" w:rsidRDefault="00BE7309" w:rsidP="0015349A">
      <w:pPr>
        <w:shd w:val="clear" w:color="auto" w:fill="FFFFFF"/>
        <w:spacing w:before="100" w:beforeAutospacing="1" w:after="24"/>
        <w:jc w:val="both"/>
        <w:rPr>
          <w:rFonts w:cs="Arial"/>
        </w:rPr>
      </w:pPr>
      <w:r w:rsidRPr="00B95D6F">
        <w:rPr>
          <w:rFonts w:cs="Arial"/>
        </w:rPr>
        <w:t xml:space="preserve">Metabolický syndrom X </w:t>
      </w:r>
      <w:r w:rsidR="004D48AD">
        <w:rPr>
          <w:rFonts w:cs="Arial"/>
        </w:rPr>
        <w:t>není dle M</w:t>
      </w:r>
      <w:r w:rsidR="00954502" w:rsidRPr="00B95D6F">
        <w:rPr>
          <w:rFonts w:cs="Arial"/>
        </w:rPr>
        <w:t>ezinárodní klasifikace nemocí</w:t>
      </w:r>
      <w:r w:rsidR="004D48AD">
        <w:rPr>
          <w:rFonts w:cs="Arial"/>
        </w:rPr>
        <w:t xml:space="preserve"> (MKN)</w:t>
      </w:r>
      <w:r w:rsidR="00954502" w:rsidRPr="00B95D6F">
        <w:rPr>
          <w:rFonts w:cs="Arial"/>
        </w:rPr>
        <w:t xml:space="preserve"> chorobou. Jedná se o soubor příznaků, určitých rizikových faktorů, které vedou </w:t>
      </w:r>
      <w:r w:rsidR="00B95D6F" w:rsidRPr="00B95D6F">
        <w:rPr>
          <w:rFonts w:cs="Arial"/>
        </w:rPr>
        <w:t xml:space="preserve">rozvoji KVCH, cukrovky 2. typu a k možným předčasným úmrtím. Diagnostickými kritérii jsou: </w:t>
      </w:r>
      <w:r w:rsidR="00B95D6F" w:rsidRPr="00BC33D3">
        <w:rPr>
          <w:rFonts w:cs="Arial"/>
        </w:rPr>
        <w:t xml:space="preserve">TK (krevní tlak) nad 130/85, glykemie (hladina krevního cukru) nad 5,6 </w:t>
      </w:r>
      <w:proofErr w:type="spellStart"/>
      <w:r w:rsidR="00B95D6F" w:rsidRPr="00BC33D3">
        <w:rPr>
          <w:rFonts w:cs="Arial"/>
        </w:rPr>
        <w:t>mmol</w:t>
      </w:r>
      <w:proofErr w:type="spellEnd"/>
      <w:r w:rsidR="00B95D6F" w:rsidRPr="00BC33D3">
        <w:rPr>
          <w:rFonts w:cs="Arial"/>
        </w:rPr>
        <w:t xml:space="preserve">/l, obvod pasu větší jak 102 cm u mužů, a 88 cm u žen, triglyceridy (hladina tuků v krvi) nad 1,7 </w:t>
      </w:r>
      <w:proofErr w:type="spellStart"/>
      <w:r w:rsidR="00B95D6F" w:rsidRPr="00BC33D3">
        <w:rPr>
          <w:rFonts w:cs="Arial"/>
        </w:rPr>
        <w:t>mmol</w:t>
      </w:r>
      <w:proofErr w:type="spellEnd"/>
      <w:r w:rsidR="00B95D6F" w:rsidRPr="00BC33D3">
        <w:rPr>
          <w:rFonts w:cs="Arial"/>
        </w:rPr>
        <w:t xml:space="preserve">/l a HDL cholesterol nad 1mmol/l u mužů, nad 1,3 </w:t>
      </w:r>
      <w:proofErr w:type="spellStart"/>
      <w:r w:rsidR="00B95D6F" w:rsidRPr="00BC33D3">
        <w:rPr>
          <w:rFonts w:cs="Arial"/>
        </w:rPr>
        <w:t>mmol</w:t>
      </w:r>
      <w:proofErr w:type="spellEnd"/>
      <w:r w:rsidR="00B95D6F" w:rsidRPr="00BC33D3">
        <w:rPr>
          <w:rFonts w:cs="Arial"/>
        </w:rPr>
        <w:t xml:space="preserve">/l u žen. V popisu příčin vzniku </w:t>
      </w:r>
      <w:proofErr w:type="spellStart"/>
      <w:r w:rsidR="00B95D6F" w:rsidRPr="00BC33D3">
        <w:rPr>
          <w:rFonts w:cs="Arial"/>
        </w:rPr>
        <w:t>matabolického</w:t>
      </w:r>
      <w:proofErr w:type="spellEnd"/>
      <w:r w:rsidR="00B95D6F" w:rsidRPr="00BC33D3">
        <w:rPr>
          <w:rFonts w:cs="Arial"/>
        </w:rPr>
        <w:t xml:space="preserve"> syndromu X a jeho prevenci se již budeme opakovat, jsou to: </w:t>
      </w:r>
      <w:r w:rsidR="00B95D6F">
        <w:rPr>
          <w:rFonts w:cs="Arial"/>
        </w:rPr>
        <w:t>genetická</w:t>
      </w:r>
      <w:r w:rsidRPr="00BE7309">
        <w:rPr>
          <w:rFonts w:cs="Arial"/>
        </w:rPr>
        <w:t xml:space="preserve"> </w:t>
      </w:r>
      <w:r w:rsidR="00B95D6F">
        <w:rPr>
          <w:rFonts w:cs="Arial"/>
        </w:rPr>
        <w:t xml:space="preserve">dispozice, </w:t>
      </w:r>
      <w:r w:rsidRPr="00BE7309">
        <w:rPr>
          <w:rFonts w:cs="Arial"/>
        </w:rPr>
        <w:t>nezdravý životní styl s nadměrným energetickým příjmem a</w:t>
      </w:r>
      <w:r w:rsidR="00B95D6F">
        <w:rPr>
          <w:rFonts w:cs="Arial"/>
        </w:rPr>
        <w:t xml:space="preserve"> </w:t>
      </w:r>
      <w:r w:rsidR="009727C2">
        <w:rPr>
          <w:rFonts w:cs="Arial"/>
        </w:rPr>
        <w:t xml:space="preserve">nedostatkem pohybové aktivity. </w:t>
      </w:r>
      <w:r w:rsidR="00B95D6F">
        <w:rPr>
          <w:rFonts w:cs="Arial"/>
        </w:rPr>
        <w:t>P</w:t>
      </w:r>
      <w:r w:rsidRPr="00BE7309">
        <w:rPr>
          <w:rFonts w:cs="Arial"/>
        </w:rPr>
        <w:t>reventivním opatřením</w:t>
      </w:r>
      <w:r w:rsidR="00B95D6F">
        <w:rPr>
          <w:rFonts w:cs="Arial"/>
        </w:rPr>
        <w:t xml:space="preserve">i jsou </w:t>
      </w:r>
      <w:r w:rsidRPr="00BE7309">
        <w:rPr>
          <w:rFonts w:cs="Arial"/>
        </w:rPr>
        <w:t>udržování optimální tělesné hmotnosti s dostatečnou mírou pohybových aktivit.</w:t>
      </w:r>
    </w:p>
    <w:p w:rsidR="00F11911" w:rsidRDefault="00BE7309" w:rsidP="0015349A">
      <w:pPr>
        <w:spacing w:after="0"/>
        <w:jc w:val="both"/>
        <w:rPr>
          <w:rFonts w:cs="Arial"/>
        </w:rPr>
      </w:pPr>
      <w:r w:rsidRPr="00F11911">
        <w:rPr>
          <w:rFonts w:cs="Arial"/>
        </w:rPr>
        <w:t>K problematice neinfekčních epidemií doporučujeme publikaci:</w:t>
      </w:r>
      <w:r w:rsidR="00F11911" w:rsidRPr="00F11911">
        <w:rPr>
          <w:rFonts w:cs="Arial"/>
        </w:rPr>
        <w:t xml:space="preserve"> Machová, Jitka a kol. </w:t>
      </w:r>
      <w:r w:rsidR="00F11911" w:rsidRPr="00F11911">
        <w:rPr>
          <w:rFonts w:cs="Arial"/>
          <w:i/>
          <w:iCs/>
        </w:rPr>
        <w:t>Výchova ke zdraví</w:t>
      </w:r>
      <w:r w:rsidR="00F11911" w:rsidRPr="00F11911">
        <w:rPr>
          <w:rFonts w:cs="Arial"/>
        </w:rPr>
        <w:t xml:space="preserve">. Vyd. 1. Praha: </w:t>
      </w:r>
      <w:proofErr w:type="spellStart"/>
      <w:r w:rsidR="00F11911" w:rsidRPr="00F11911">
        <w:rPr>
          <w:rFonts w:cs="Arial"/>
        </w:rPr>
        <w:t>Grada</w:t>
      </w:r>
      <w:proofErr w:type="spellEnd"/>
      <w:r w:rsidR="00F11911" w:rsidRPr="00F11911">
        <w:rPr>
          <w:rFonts w:cs="Arial"/>
        </w:rPr>
        <w:t xml:space="preserve">, 2009. 291 s. Pedagogika. ISBN 978-80-247-2715-8. </w:t>
      </w:r>
    </w:p>
    <w:p w:rsidR="00622457" w:rsidRDefault="00622457" w:rsidP="0015349A">
      <w:pPr>
        <w:spacing w:after="0"/>
        <w:jc w:val="both"/>
        <w:rPr>
          <w:rFonts w:cs="Arial"/>
        </w:rPr>
      </w:pPr>
    </w:p>
    <w:p w:rsidR="00622457" w:rsidRDefault="00622457" w:rsidP="00622457">
      <w:pPr>
        <w:jc w:val="both"/>
        <w:rPr>
          <w:b/>
          <w:sz w:val="32"/>
          <w:szCs w:val="32"/>
        </w:rPr>
      </w:pPr>
      <w:r>
        <w:rPr>
          <w:b/>
          <w:sz w:val="32"/>
          <w:szCs w:val="32"/>
        </w:rPr>
        <w:t>Výživa jako vybraný aspekt životního stylu</w:t>
      </w:r>
    </w:p>
    <w:p w:rsidR="00622457" w:rsidRDefault="00622457" w:rsidP="00622457">
      <w:pPr>
        <w:jc w:val="both"/>
        <w:rPr>
          <w:bCs/>
        </w:rPr>
      </w:pPr>
      <w:r w:rsidRPr="00573048">
        <w:rPr>
          <w:bCs/>
        </w:rPr>
        <w:t xml:space="preserve">Výživa a stravovací zvyklosti jedince </w:t>
      </w:r>
      <w:r>
        <w:rPr>
          <w:bCs/>
        </w:rPr>
        <w:t>jsou nejvýznamnějším faktorem v rámci životního stylu, který pak má možnost na zdraví působit pozitivně (při dodržování optimálních zásad stravování) či negativně (při nedodržování pravidel a výživových doporučení).</w:t>
      </w:r>
    </w:p>
    <w:p w:rsidR="00622457" w:rsidRDefault="00622457" w:rsidP="00622457">
      <w:pPr>
        <w:jc w:val="both"/>
        <w:rPr>
          <w:bCs/>
        </w:rPr>
      </w:pPr>
      <w:r>
        <w:rPr>
          <w:bCs/>
        </w:rPr>
        <w:t>Stěžejní pravidla výživy a stravovacích návyků se dotýkají kvality (složení) a kvantity (množství) přijímané stravy včetně jejího rozložení v průběhu dne (optimální rozložení do 5-6 denních porcí s odstupem cca 3 h mezi jednotlivými jídly a konzumací posledního denního jídla cca 2 h před spaním).</w:t>
      </w:r>
    </w:p>
    <w:p w:rsidR="00622457" w:rsidRPr="009E6F22" w:rsidRDefault="00622457" w:rsidP="00622457">
      <w:pPr>
        <w:jc w:val="both"/>
        <w:rPr>
          <w:b/>
          <w:bCs/>
        </w:rPr>
      </w:pPr>
      <w:r w:rsidRPr="009E6F22">
        <w:rPr>
          <w:b/>
          <w:bCs/>
        </w:rPr>
        <w:t>Faktory ovlivňující výživu</w:t>
      </w:r>
    </w:p>
    <w:p w:rsidR="00622457" w:rsidRDefault="00622457" w:rsidP="00622457">
      <w:pPr>
        <w:jc w:val="both"/>
        <w:rPr>
          <w:bCs/>
        </w:rPr>
      </w:pPr>
      <w:r>
        <w:rPr>
          <w:bCs/>
        </w:rPr>
        <w:t xml:space="preserve"> Stravování dětí i dospělých je ovlivňováno fyziologickými potřebami organismu. Základním projevem potřeby příjmu potravy je pocit hladu, který signalizuje nutnost dodání energie. Příjmem potravy dochází k saturaci hlavních živin (sacharidů, lipidů a bílkovin), vedlejších živin (vitamínů a minerálních látek), vody a dalších specifických </w:t>
      </w:r>
      <w:proofErr w:type="spellStart"/>
      <w:r>
        <w:rPr>
          <w:bCs/>
        </w:rPr>
        <w:t>nutrientů</w:t>
      </w:r>
      <w:proofErr w:type="spellEnd"/>
      <w:r>
        <w:rPr>
          <w:bCs/>
        </w:rPr>
        <w:t xml:space="preserve">. </w:t>
      </w:r>
    </w:p>
    <w:p w:rsidR="00622457" w:rsidRDefault="00622457" w:rsidP="00622457">
      <w:pPr>
        <w:jc w:val="both"/>
        <w:rPr>
          <w:bCs/>
        </w:rPr>
      </w:pPr>
      <w:r>
        <w:rPr>
          <w:bCs/>
        </w:rPr>
        <w:t>Výživové návyky dětí (i dospělých) jsou však determinovány mnoha dalšími faktory na bázi psychosociálních, sociokulturních a dalších vlivů.  Nejvlivnějším faktorem bývá zpravidla rodina a její stravovací zvyklosti, kterým se dítě učí a přenáší si je do svého dalšího života. Vliv na výživu jedince má však také prostředí, ve kterém žije včetně klimatických podmínek, dostupnost potravin, tradiční nabídka potravního sortimentu, vzdělání, finance, čas, náboženství, osobní přesvědčení, aj. Velmi významným faktorem je také zdravotní stav a případná nutnost dodržovat terapeutický dietní režim.</w:t>
      </w:r>
    </w:p>
    <w:p w:rsidR="00622457" w:rsidRPr="003261B9" w:rsidRDefault="00622457" w:rsidP="00622457">
      <w:pPr>
        <w:jc w:val="both"/>
        <w:rPr>
          <w:bCs/>
        </w:rPr>
      </w:pPr>
      <w:r>
        <w:rPr>
          <w:bCs/>
        </w:rPr>
        <w:t xml:space="preserve">Významný je také vliv školy, resp. pedagogů při formování stravovacích návyků. V rámci školy jako instituce lze výživu dětí kladně či záporně ovlivnit přítomností (nepřítomností) nápojových automatů, automatů na sladkosti, rychlé občerstvení, školního bufetu aj. Stejně tak významná je možnost školního stravování včetně kvality, kvantity, servírování atp. podávané stravy. </w:t>
      </w:r>
    </w:p>
    <w:p w:rsidR="00BC33D3" w:rsidRDefault="00BC33D3">
      <w:pPr>
        <w:rPr>
          <w:b/>
          <w:bCs/>
        </w:rPr>
      </w:pPr>
      <w:r>
        <w:rPr>
          <w:b/>
          <w:bCs/>
        </w:rPr>
        <w:br w:type="page"/>
      </w:r>
    </w:p>
    <w:p w:rsidR="00622457" w:rsidRDefault="00622457" w:rsidP="00622457">
      <w:pPr>
        <w:rPr>
          <w:b/>
          <w:bCs/>
        </w:rPr>
      </w:pPr>
      <w:r>
        <w:rPr>
          <w:b/>
          <w:bCs/>
        </w:rPr>
        <w:lastRenderedPageBreak/>
        <w:t>Výživová doporučení pro obyvatelstvo České republiky</w:t>
      </w:r>
    </w:p>
    <w:p w:rsidR="00622457" w:rsidRDefault="00622457" w:rsidP="00622457">
      <w:pPr>
        <w:spacing w:before="100" w:after="100"/>
        <w:jc w:val="both"/>
      </w:pPr>
      <w:r>
        <w:t>Jsou proměnná v čase a vystihují stěžejní potřeby stravování populace tak, aby minimalizovali riziko vzniku tzv. neinfekčních epidemií. Současná doporučení jsou platná od roku 2012 a zahrnují změny v nutričních parametrech, ke kterým by mělo dojít, změny ve spotřebě potravin, kterých by mělo být dosaženo, podporované kulinářské technologie, na které je nutné se zaměřit a žádoucí změny ve složení potravinářských výrobků. Zahrnují také specifika pro jednotlivé populační skupiny.</w:t>
      </w:r>
    </w:p>
    <w:p w:rsidR="00622457" w:rsidRPr="00527045" w:rsidRDefault="00622457" w:rsidP="00622457">
      <w:pPr>
        <w:tabs>
          <w:tab w:val="num" w:pos="540"/>
        </w:tabs>
        <w:jc w:val="both"/>
      </w:pPr>
      <w:r>
        <w:t xml:space="preserve">Zde výběrově uvádíme pouze část výživových doporučení a specifika pro školní a adolescenční věk (převzato z </w:t>
      </w:r>
      <w:proofErr w:type="gramStart"/>
      <w:r w:rsidRPr="00527045">
        <w:rPr>
          <w:rFonts w:cs="Arial"/>
          <w:i/>
        </w:rPr>
        <w:t>Výživová</w:t>
      </w:r>
      <w:proofErr w:type="gramEnd"/>
      <w:r w:rsidRPr="00527045">
        <w:rPr>
          <w:rFonts w:cs="Arial"/>
          <w:i/>
        </w:rPr>
        <w:t xml:space="preserve"> doporučení pro obyvatelstvo České republiky</w:t>
      </w:r>
      <w:r w:rsidRPr="00527045">
        <w:rPr>
          <w:rFonts w:cs="Arial"/>
        </w:rPr>
        <w:t>. In Výživa a potraviny, 2012, vol. 67, no. 3, p. 80-82. ISSN 1211-846X).</w:t>
      </w:r>
    </w:p>
    <w:p w:rsidR="00622457" w:rsidRDefault="00622457" w:rsidP="00622457">
      <w:pPr>
        <w:spacing w:before="100" w:after="100"/>
        <w:jc w:val="both"/>
        <w:rPr>
          <w:b/>
          <w:bCs/>
        </w:rPr>
      </w:pPr>
      <w:r>
        <w:rPr>
          <w:b/>
          <w:bCs/>
        </w:rPr>
        <w:t>V nutričních parametrech by mělo být dosaženo následující změn, které jsou v souladu s výživovými cíli pro Evropu (WHO) a s doporučením evropských odborných společností:</w:t>
      </w:r>
    </w:p>
    <w:p w:rsidR="00622457" w:rsidRPr="00573048" w:rsidRDefault="00622457" w:rsidP="00622457">
      <w:pPr>
        <w:pStyle w:val="OdrkovseznamHTML"/>
        <w:spacing w:line="276" w:lineRule="auto"/>
        <w:jc w:val="both"/>
        <w:rPr>
          <w:rFonts w:asciiTheme="minorHAnsi" w:hAnsiTheme="minorHAnsi"/>
          <w:sz w:val="22"/>
          <w:szCs w:val="22"/>
        </w:rPr>
      </w:pPr>
      <w:r w:rsidRPr="00573048">
        <w:rPr>
          <w:rFonts w:asciiTheme="minorHAnsi" w:hAnsiTheme="minorHAnsi"/>
          <w:sz w:val="22"/>
          <w:szCs w:val="22"/>
        </w:rPr>
        <w:t xml:space="preserve">upravení příjmu celkové energetické dávky u jednotlivých populačních skupin v souvislosti s pohybovým režimem tak, aby bylo dosaženo </w:t>
      </w:r>
      <w:r w:rsidRPr="00573048">
        <w:rPr>
          <w:rFonts w:asciiTheme="minorHAnsi" w:hAnsiTheme="minorHAnsi"/>
          <w:b/>
          <w:bCs/>
          <w:sz w:val="22"/>
          <w:szCs w:val="22"/>
        </w:rPr>
        <w:t xml:space="preserve">rovnováhy mezi jejím příjmem a výdejem </w:t>
      </w:r>
      <w:r w:rsidRPr="00573048">
        <w:rPr>
          <w:rFonts w:asciiTheme="minorHAnsi" w:hAnsiTheme="minorHAnsi"/>
          <w:sz w:val="22"/>
          <w:szCs w:val="22"/>
        </w:rPr>
        <w:t xml:space="preserve">pro udržení optimální tělesné hmotnosti v rozmezí </w:t>
      </w:r>
      <w:r w:rsidRPr="00573048">
        <w:rPr>
          <w:rFonts w:asciiTheme="minorHAnsi" w:hAnsiTheme="minorHAnsi"/>
          <w:b/>
          <w:bCs/>
          <w:sz w:val="22"/>
          <w:szCs w:val="22"/>
        </w:rPr>
        <w:t>BMI 18-25</w:t>
      </w:r>
      <w:r w:rsidRPr="00573048">
        <w:rPr>
          <w:rFonts w:asciiTheme="minorHAnsi" w:hAnsiTheme="minorHAnsi"/>
          <w:sz w:val="22"/>
          <w:szCs w:val="22"/>
        </w:rPr>
        <w:t xml:space="preserve"> u dospělých, u dětí v rozmezí mezi 10 - 90 percentilem referenčních hodnot BMI nebo poměru hmotnosti k výšce dítěte. U dětí s nitroděložním růstovým opožděním by neměl být při zajištění jejich přiměřeného růstu a vývoje energetický příjem nadměrně navyšován, aby nedocházelo k rozvoji jejich pozdější obezity. </w:t>
      </w:r>
    </w:p>
    <w:p w:rsidR="00622457" w:rsidRPr="00573048" w:rsidRDefault="00622457" w:rsidP="00622457">
      <w:pPr>
        <w:pStyle w:val="OdrkovseznamHTML"/>
        <w:spacing w:line="276" w:lineRule="auto"/>
        <w:jc w:val="both"/>
        <w:rPr>
          <w:rFonts w:asciiTheme="minorHAnsi" w:hAnsiTheme="minorHAnsi"/>
          <w:sz w:val="22"/>
          <w:szCs w:val="22"/>
        </w:rPr>
      </w:pPr>
      <w:r w:rsidRPr="00573048">
        <w:rPr>
          <w:rFonts w:asciiTheme="minorHAnsi" w:hAnsiTheme="minorHAnsi"/>
          <w:b/>
          <w:bCs/>
          <w:sz w:val="22"/>
          <w:szCs w:val="22"/>
        </w:rPr>
        <w:t>snížení příjmu tuku</w:t>
      </w:r>
      <w:r w:rsidRPr="00573048">
        <w:rPr>
          <w:rFonts w:asciiTheme="minorHAnsi" w:hAnsiTheme="minorHAnsi"/>
          <w:sz w:val="22"/>
          <w:szCs w:val="22"/>
        </w:rPr>
        <w:t xml:space="preserve"> u dospělé populace tak, aby celkový podíl tuku v energetickém příjmu nepřekročil </w:t>
      </w:r>
      <w:r w:rsidRPr="00573048">
        <w:rPr>
          <w:rFonts w:asciiTheme="minorHAnsi" w:hAnsiTheme="minorHAnsi"/>
          <w:b/>
          <w:bCs/>
          <w:sz w:val="22"/>
          <w:szCs w:val="22"/>
        </w:rPr>
        <w:t xml:space="preserve">30 % optimální energetické hodnoty </w:t>
      </w:r>
      <w:r w:rsidRPr="00573048">
        <w:rPr>
          <w:rFonts w:asciiTheme="minorHAnsi" w:hAnsiTheme="minorHAnsi"/>
          <w:sz w:val="22"/>
          <w:szCs w:val="22"/>
        </w:rPr>
        <w:t>(tzn. u lehce pracujících dospělých cca 70 g na den), u vyššího energetického výdeje 35 %. U dětí by se měl podíl tuku na celkovém energetickém příjmu postup</w:t>
      </w:r>
      <w:r>
        <w:rPr>
          <w:rFonts w:asciiTheme="minorHAnsi" w:hAnsiTheme="minorHAnsi"/>
          <w:sz w:val="22"/>
          <w:szCs w:val="22"/>
        </w:rPr>
        <w:t>ně snižovat tak, aby ve školním</w:t>
      </w:r>
      <w:r w:rsidRPr="00573048">
        <w:rPr>
          <w:rFonts w:asciiTheme="minorHAnsi" w:hAnsiTheme="minorHAnsi"/>
          <w:sz w:val="22"/>
          <w:szCs w:val="22"/>
        </w:rPr>
        <w:t xml:space="preserve"> věku tvořil 30 - 35% energetického příjmu a dále odpovídal doporučením dospělých </w:t>
      </w:r>
    </w:p>
    <w:p w:rsidR="00622457" w:rsidRPr="00573048" w:rsidRDefault="00622457" w:rsidP="00622457">
      <w:pPr>
        <w:pStyle w:val="OdrkovseznamHTML"/>
        <w:spacing w:line="276" w:lineRule="auto"/>
        <w:jc w:val="both"/>
        <w:rPr>
          <w:rFonts w:asciiTheme="minorHAnsi" w:hAnsiTheme="minorHAnsi"/>
          <w:sz w:val="22"/>
          <w:szCs w:val="22"/>
        </w:rPr>
      </w:pPr>
      <w:r w:rsidRPr="00573048">
        <w:rPr>
          <w:rFonts w:asciiTheme="minorHAnsi" w:hAnsiTheme="minorHAnsi"/>
          <w:sz w:val="22"/>
          <w:szCs w:val="22"/>
        </w:rPr>
        <w:t xml:space="preserve">příjem </w:t>
      </w:r>
      <w:r w:rsidRPr="00573048">
        <w:rPr>
          <w:rFonts w:asciiTheme="minorHAnsi" w:hAnsiTheme="minorHAnsi"/>
          <w:b/>
          <w:bCs/>
          <w:sz w:val="22"/>
          <w:szCs w:val="22"/>
        </w:rPr>
        <w:t xml:space="preserve">nasycených mastných kyselin by měl být nižší než 10 % </w:t>
      </w:r>
      <w:r w:rsidRPr="00573048">
        <w:rPr>
          <w:rFonts w:asciiTheme="minorHAnsi" w:hAnsiTheme="minorHAnsi"/>
          <w:sz w:val="22"/>
          <w:szCs w:val="22"/>
        </w:rPr>
        <w:t xml:space="preserve">(20 g), polyenových 7 - 10 % z celkového energetického příjmu. Poměr mastných kyselin řady n-6:n-3 maximálně 5:1. Příjem </w:t>
      </w:r>
      <w:r w:rsidRPr="00573048">
        <w:rPr>
          <w:rFonts w:asciiTheme="minorHAnsi" w:hAnsiTheme="minorHAnsi"/>
          <w:b/>
          <w:bCs/>
          <w:sz w:val="22"/>
          <w:szCs w:val="22"/>
        </w:rPr>
        <w:t>trans-nenasycených mastných kyselin</w:t>
      </w:r>
      <w:r w:rsidRPr="00573048">
        <w:rPr>
          <w:rFonts w:asciiTheme="minorHAnsi" w:hAnsiTheme="minorHAnsi"/>
          <w:sz w:val="22"/>
          <w:szCs w:val="22"/>
        </w:rPr>
        <w:t xml:space="preserve"> by měl být co nejnižší a neměl by překročit </w:t>
      </w:r>
      <w:r w:rsidRPr="00573048">
        <w:rPr>
          <w:rFonts w:asciiTheme="minorHAnsi" w:hAnsiTheme="minorHAnsi"/>
          <w:b/>
          <w:bCs/>
          <w:sz w:val="22"/>
          <w:szCs w:val="22"/>
        </w:rPr>
        <w:t>1 %</w:t>
      </w:r>
      <w:r w:rsidRPr="00573048">
        <w:rPr>
          <w:rFonts w:asciiTheme="minorHAnsi" w:hAnsiTheme="minorHAnsi"/>
          <w:sz w:val="22"/>
          <w:szCs w:val="22"/>
        </w:rPr>
        <w:t xml:space="preserve"> (cca 2,5 g/den) z celkového energetického příjmu. </w:t>
      </w:r>
    </w:p>
    <w:p w:rsidR="00622457" w:rsidRPr="00573048" w:rsidRDefault="00622457" w:rsidP="00622457">
      <w:pPr>
        <w:pStyle w:val="OdrkovseznamHTML"/>
        <w:spacing w:line="276" w:lineRule="auto"/>
        <w:jc w:val="both"/>
        <w:rPr>
          <w:rFonts w:asciiTheme="minorHAnsi" w:hAnsiTheme="minorHAnsi"/>
          <w:sz w:val="22"/>
          <w:szCs w:val="22"/>
        </w:rPr>
      </w:pPr>
      <w:r w:rsidRPr="00573048">
        <w:rPr>
          <w:rFonts w:asciiTheme="minorHAnsi" w:hAnsiTheme="minorHAnsi"/>
          <w:b/>
          <w:bCs/>
          <w:sz w:val="22"/>
          <w:szCs w:val="22"/>
        </w:rPr>
        <w:t xml:space="preserve">snížení </w:t>
      </w:r>
      <w:r w:rsidRPr="00573048">
        <w:rPr>
          <w:rFonts w:asciiTheme="minorHAnsi" w:hAnsiTheme="minorHAnsi"/>
          <w:sz w:val="22"/>
          <w:szCs w:val="22"/>
        </w:rPr>
        <w:t xml:space="preserve">příjmu </w:t>
      </w:r>
      <w:r w:rsidRPr="00573048">
        <w:rPr>
          <w:rFonts w:asciiTheme="minorHAnsi" w:hAnsiTheme="minorHAnsi"/>
          <w:b/>
          <w:bCs/>
          <w:sz w:val="22"/>
          <w:szCs w:val="22"/>
        </w:rPr>
        <w:t>cholesterolu na max. 300 mg za den</w:t>
      </w:r>
      <w:r w:rsidRPr="00573048">
        <w:rPr>
          <w:rFonts w:asciiTheme="minorHAnsi" w:hAnsiTheme="minorHAnsi"/>
          <w:sz w:val="22"/>
          <w:szCs w:val="22"/>
        </w:rPr>
        <w:t xml:space="preserve"> (s optimem 100 mg na 1000 kcal, včetně dětské populace). </w:t>
      </w:r>
    </w:p>
    <w:p w:rsidR="00622457" w:rsidRPr="00573048" w:rsidRDefault="00622457" w:rsidP="00622457">
      <w:pPr>
        <w:pStyle w:val="OdrkovseznamHTML"/>
        <w:spacing w:line="276" w:lineRule="auto"/>
        <w:jc w:val="both"/>
        <w:rPr>
          <w:rFonts w:asciiTheme="minorHAnsi" w:hAnsiTheme="minorHAnsi"/>
          <w:sz w:val="22"/>
          <w:szCs w:val="22"/>
        </w:rPr>
      </w:pPr>
      <w:r w:rsidRPr="00573048">
        <w:rPr>
          <w:rFonts w:asciiTheme="minorHAnsi" w:hAnsiTheme="minorHAnsi"/>
          <w:b/>
          <w:bCs/>
          <w:sz w:val="22"/>
          <w:szCs w:val="22"/>
        </w:rPr>
        <w:t>snížení</w:t>
      </w:r>
      <w:r w:rsidRPr="00573048">
        <w:rPr>
          <w:rFonts w:asciiTheme="minorHAnsi" w:hAnsiTheme="minorHAnsi"/>
          <w:sz w:val="22"/>
          <w:szCs w:val="22"/>
        </w:rPr>
        <w:t xml:space="preserve"> spotřeby přidaných </w:t>
      </w:r>
      <w:r w:rsidRPr="00573048">
        <w:rPr>
          <w:rFonts w:asciiTheme="minorHAnsi" w:hAnsiTheme="minorHAnsi"/>
          <w:b/>
          <w:bCs/>
          <w:sz w:val="22"/>
          <w:szCs w:val="22"/>
        </w:rPr>
        <w:t>jednoduchých cukrů na maximálně 10 %</w:t>
      </w:r>
      <w:r w:rsidRPr="00573048">
        <w:rPr>
          <w:rFonts w:asciiTheme="minorHAnsi" w:hAnsiTheme="minorHAnsi"/>
          <w:sz w:val="22"/>
          <w:szCs w:val="22"/>
        </w:rPr>
        <w:t xml:space="preserve"> z celkové energetické dávky (tzn. u dospělých lehce pracujících cca 60 g na den), při zvýšení podílu polysacharidů. U nekojených dětí má významnou roli příjem oligosacharidů s </w:t>
      </w:r>
      <w:proofErr w:type="spellStart"/>
      <w:r w:rsidRPr="00573048">
        <w:rPr>
          <w:rFonts w:asciiTheme="minorHAnsi" w:hAnsiTheme="minorHAnsi"/>
          <w:sz w:val="22"/>
          <w:szCs w:val="22"/>
        </w:rPr>
        <w:t>prebiotickým</w:t>
      </w:r>
      <w:proofErr w:type="spellEnd"/>
      <w:r w:rsidRPr="00573048">
        <w:rPr>
          <w:rFonts w:asciiTheme="minorHAnsi" w:hAnsiTheme="minorHAnsi"/>
          <w:sz w:val="22"/>
          <w:szCs w:val="22"/>
        </w:rPr>
        <w:t xml:space="preserve"> účinkem k podpoře rozvoje adekvátní střevní mikroflóry. </w:t>
      </w:r>
    </w:p>
    <w:p w:rsidR="00622457" w:rsidRPr="00573048" w:rsidRDefault="00622457" w:rsidP="00622457">
      <w:pPr>
        <w:pStyle w:val="OdrkovseznamHTML"/>
        <w:spacing w:line="276" w:lineRule="auto"/>
        <w:jc w:val="both"/>
        <w:rPr>
          <w:rFonts w:asciiTheme="minorHAnsi" w:hAnsiTheme="minorHAnsi"/>
          <w:sz w:val="22"/>
          <w:szCs w:val="22"/>
        </w:rPr>
      </w:pPr>
      <w:r w:rsidRPr="00573048">
        <w:rPr>
          <w:rFonts w:asciiTheme="minorHAnsi" w:hAnsiTheme="minorHAnsi"/>
          <w:b/>
          <w:bCs/>
          <w:sz w:val="22"/>
          <w:szCs w:val="22"/>
        </w:rPr>
        <w:t>snížení spotřeby kuchyňské soli (</w:t>
      </w:r>
      <w:proofErr w:type="spellStart"/>
      <w:r w:rsidRPr="00573048">
        <w:rPr>
          <w:rFonts w:asciiTheme="minorHAnsi" w:hAnsiTheme="minorHAnsi"/>
          <w:b/>
          <w:bCs/>
          <w:sz w:val="22"/>
          <w:szCs w:val="22"/>
        </w:rPr>
        <w:t>NaCl</w:t>
      </w:r>
      <w:proofErr w:type="spellEnd"/>
      <w:r w:rsidRPr="00573048">
        <w:rPr>
          <w:rFonts w:asciiTheme="minorHAnsi" w:hAnsiTheme="minorHAnsi"/>
          <w:b/>
          <w:bCs/>
          <w:sz w:val="22"/>
          <w:szCs w:val="22"/>
        </w:rPr>
        <w:t xml:space="preserve">) na 5 - 6 g za den </w:t>
      </w:r>
      <w:r w:rsidRPr="00573048">
        <w:rPr>
          <w:rFonts w:asciiTheme="minorHAnsi" w:hAnsiTheme="minorHAnsi"/>
          <w:sz w:val="22"/>
          <w:szCs w:val="22"/>
        </w:rPr>
        <w:t xml:space="preserve">a preferenci používání soli </w:t>
      </w:r>
      <w:r w:rsidRPr="00573048">
        <w:rPr>
          <w:rFonts w:asciiTheme="minorHAnsi" w:hAnsiTheme="minorHAnsi"/>
          <w:b/>
          <w:bCs/>
          <w:sz w:val="22"/>
          <w:szCs w:val="22"/>
        </w:rPr>
        <w:t>obohacené jodem</w:t>
      </w:r>
      <w:r w:rsidRPr="00573048">
        <w:rPr>
          <w:rFonts w:asciiTheme="minorHAnsi" w:hAnsiTheme="minorHAnsi"/>
          <w:sz w:val="22"/>
          <w:szCs w:val="22"/>
        </w:rPr>
        <w:t xml:space="preserve">. U starších lidí kde je častěji sledovaná hypertenze a další onemocnění, snížení příjmu soli pod 5 g na den. V kojeneckém věku stravu zásadně nesolíme, v pozdějším dětském věku užíváme sůl úměrně potřebám dítěte. </w:t>
      </w:r>
    </w:p>
    <w:p w:rsidR="00622457" w:rsidRPr="00573048" w:rsidRDefault="00622457" w:rsidP="00622457">
      <w:pPr>
        <w:pStyle w:val="OdrkovseznamHTML"/>
        <w:spacing w:line="276" w:lineRule="auto"/>
        <w:jc w:val="both"/>
        <w:rPr>
          <w:rFonts w:asciiTheme="minorHAnsi" w:hAnsiTheme="minorHAnsi"/>
          <w:sz w:val="22"/>
          <w:szCs w:val="22"/>
        </w:rPr>
      </w:pPr>
      <w:r w:rsidRPr="00573048">
        <w:rPr>
          <w:rFonts w:asciiTheme="minorHAnsi" w:hAnsiTheme="minorHAnsi"/>
          <w:b/>
          <w:bCs/>
          <w:sz w:val="22"/>
          <w:szCs w:val="22"/>
        </w:rPr>
        <w:t>zvýšení příjmu kyseliny askorbové (vitaminu C) na 100 mg denně,</w:t>
      </w:r>
      <w:r w:rsidRPr="00573048">
        <w:rPr>
          <w:rFonts w:asciiTheme="minorHAnsi" w:hAnsiTheme="minorHAnsi"/>
          <w:sz w:val="22"/>
          <w:szCs w:val="22"/>
        </w:rPr>
        <w:t xml:space="preserve"> u dětí v rámci odpovídajících doporučení. </w:t>
      </w:r>
    </w:p>
    <w:p w:rsidR="00622457" w:rsidRPr="00573048" w:rsidRDefault="00622457" w:rsidP="00622457">
      <w:pPr>
        <w:pStyle w:val="OdrkovseznamHTML"/>
        <w:spacing w:line="276" w:lineRule="auto"/>
        <w:jc w:val="both"/>
        <w:rPr>
          <w:rFonts w:asciiTheme="minorHAnsi" w:hAnsiTheme="minorHAnsi"/>
          <w:sz w:val="22"/>
          <w:szCs w:val="22"/>
        </w:rPr>
      </w:pPr>
      <w:r w:rsidRPr="00573048">
        <w:rPr>
          <w:rFonts w:asciiTheme="minorHAnsi" w:hAnsiTheme="minorHAnsi"/>
          <w:b/>
          <w:bCs/>
          <w:sz w:val="22"/>
          <w:szCs w:val="22"/>
        </w:rPr>
        <w:t>zvýšení příjmu vlákniny na 30 g za den</w:t>
      </w:r>
      <w:r w:rsidRPr="00573048">
        <w:rPr>
          <w:rFonts w:asciiTheme="minorHAnsi" w:hAnsiTheme="minorHAnsi"/>
          <w:sz w:val="22"/>
          <w:szCs w:val="22"/>
        </w:rPr>
        <w:t xml:space="preserve"> u dospělých, u dětí od druhého roku života 5 g + počet gramů odpovídajících věku (rokům) dítěte. </w:t>
      </w:r>
    </w:p>
    <w:p w:rsidR="00622457" w:rsidRDefault="00622457" w:rsidP="00622457">
      <w:pPr>
        <w:pStyle w:val="OdrkovseznamHTML"/>
        <w:spacing w:line="276" w:lineRule="auto"/>
        <w:jc w:val="both"/>
        <w:rPr>
          <w:rFonts w:asciiTheme="minorHAnsi" w:hAnsiTheme="minorHAnsi"/>
          <w:sz w:val="22"/>
          <w:szCs w:val="22"/>
        </w:rPr>
      </w:pPr>
      <w:r w:rsidRPr="00573048">
        <w:rPr>
          <w:rFonts w:asciiTheme="minorHAnsi" w:hAnsiTheme="minorHAnsi"/>
          <w:b/>
          <w:bCs/>
          <w:sz w:val="22"/>
          <w:szCs w:val="22"/>
        </w:rPr>
        <w:lastRenderedPageBreak/>
        <w:t>zvýšení příjmu dalších ochranných látek</w:t>
      </w:r>
      <w:r w:rsidRPr="00573048">
        <w:rPr>
          <w:rFonts w:asciiTheme="minorHAnsi" w:hAnsiTheme="minorHAnsi"/>
          <w:sz w:val="22"/>
          <w:szCs w:val="22"/>
        </w:rPr>
        <w:t xml:space="preserve"> jak minerálních, tak vitaminové povahy a dalších přírodních </w:t>
      </w:r>
      <w:proofErr w:type="spellStart"/>
      <w:r w:rsidRPr="00573048">
        <w:rPr>
          <w:rFonts w:asciiTheme="minorHAnsi" w:hAnsiTheme="minorHAnsi"/>
          <w:sz w:val="22"/>
          <w:szCs w:val="22"/>
        </w:rPr>
        <w:t>nutrientů</w:t>
      </w:r>
      <w:proofErr w:type="spellEnd"/>
      <w:r w:rsidRPr="00573048">
        <w:rPr>
          <w:rFonts w:asciiTheme="minorHAnsi" w:hAnsiTheme="minorHAnsi"/>
          <w:sz w:val="22"/>
          <w:szCs w:val="22"/>
        </w:rPr>
        <w:t xml:space="preserve">, které by zajistily odpovídající antioxidační aktivitu a další ochranné procesy v organizmu (zejména </w:t>
      </w:r>
      <w:proofErr w:type="spellStart"/>
      <w:r w:rsidRPr="00573048">
        <w:rPr>
          <w:rFonts w:asciiTheme="minorHAnsi" w:hAnsiTheme="minorHAnsi"/>
          <w:sz w:val="22"/>
          <w:szCs w:val="22"/>
        </w:rPr>
        <w:t>Zn</w:t>
      </w:r>
      <w:proofErr w:type="spellEnd"/>
      <w:r w:rsidRPr="00573048">
        <w:rPr>
          <w:rFonts w:asciiTheme="minorHAnsi" w:hAnsiTheme="minorHAnsi"/>
          <w:sz w:val="22"/>
          <w:szCs w:val="22"/>
        </w:rPr>
        <w:t>, Se, Ca, J, karotenů, vitaminu E, ochranných látek obsažených v zelenině aj.).</w:t>
      </w:r>
    </w:p>
    <w:p w:rsidR="00622457" w:rsidRDefault="00622457" w:rsidP="00622457">
      <w:pPr>
        <w:pStyle w:val="OdrkovseznamHTML"/>
        <w:numPr>
          <w:ilvl w:val="0"/>
          <w:numId w:val="0"/>
        </w:numPr>
        <w:spacing w:line="276" w:lineRule="auto"/>
        <w:ind w:left="720"/>
        <w:jc w:val="both"/>
        <w:rPr>
          <w:rFonts w:asciiTheme="minorHAnsi" w:hAnsiTheme="minorHAnsi"/>
          <w:b/>
          <w:bCs/>
          <w:sz w:val="22"/>
          <w:szCs w:val="22"/>
        </w:rPr>
      </w:pPr>
    </w:p>
    <w:p w:rsidR="00622457" w:rsidRPr="00573048" w:rsidRDefault="00622457" w:rsidP="00622457">
      <w:pPr>
        <w:pStyle w:val="OdrkovseznamHTML"/>
        <w:numPr>
          <w:ilvl w:val="0"/>
          <w:numId w:val="0"/>
        </w:numPr>
        <w:spacing w:line="276" w:lineRule="auto"/>
        <w:ind w:left="720"/>
        <w:jc w:val="both"/>
        <w:rPr>
          <w:rFonts w:asciiTheme="minorHAnsi" w:hAnsiTheme="minorHAnsi"/>
          <w:sz w:val="22"/>
          <w:szCs w:val="22"/>
        </w:rPr>
      </w:pPr>
      <w:r>
        <w:rPr>
          <w:rFonts w:asciiTheme="minorHAnsi" w:hAnsiTheme="minorHAnsi"/>
          <w:b/>
          <w:bCs/>
          <w:sz w:val="22"/>
          <w:szCs w:val="22"/>
        </w:rPr>
        <w:t>Specifika výživových doporučení pro školní a adolescenční věk</w:t>
      </w:r>
    </w:p>
    <w:p w:rsidR="00622457" w:rsidRPr="00257D06" w:rsidRDefault="00622457" w:rsidP="00622457">
      <w:pPr>
        <w:pStyle w:val="OdrkovseznamHTML"/>
        <w:spacing w:line="276" w:lineRule="auto"/>
        <w:jc w:val="both"/>
        <w:rPr>
          <w:rStyle w:val="Zvraznn"/>
          <w:rFonts w:asciiTheme="minorHAnsi" w:hAnsiTheme="minorHAnsi"/>
          <w:sz w:val="22"/>
          <w:szCs w:val="22"/>
        </w:rPr>
      </w:pPr>
      <w:r w:rsidRPr="00257D06">
        <w:rPr>
          <w:rFonts w:asciiTheme="minorHAnsi" w:hAnsiTheme="minorHAnsi"/>
          <w:sz w:val="22"/>
          <w:szCs w:val="22"/>
        </w:rPr>
        <w:t xml:space="preserve">strava by měla i dále obsahovat </w:t>
      </w:r>
      <w:r w:rsidRPr="00257D06">
        <w:rPr>
          <w:rStyle w:val="Zvraznn"/>
          <w:rFonts w:asciiTheme="minorHAnsi" w:hAnsiTheme="minorHAnsi"/>
          <w:sz w:val="22"/>
          <w:szCs w:val="22"/>
        </w:rPr>
        <w:t xml:space="preserve">v každé porci obiloviny </w:t>
      </w:r>
      <w:r w:rsidRPr="00257D06">
        <w:rPr>
          <w:rFonts w:asciiTheme="minorHAnsi" w:hAnsiTheme="minorHAnsi"/>
          <w:sz w:val="22"/>
          <w:szCs w:val="22"/>
        </w:rPr>
        <w:t xml:space="preserve">– pečivo (s preferencí celozrnných výrobků) nebo rýži, těstovinu. Denně by měly děti tohoto věku dostávat ve </w:t>
      </w:r>
      <w:r w:rsidRPr="00257D06">
        <w:rPr>
          <w:rStyle w:val="Zvraznn"/>
          <w:rFonts w:asciiTheme="minorHAnsi" w:hAnsiTheme="minorHAnsi"/>
          <w:sz w:val="22"/>
          <w:szCs w:val="22"/>
        </w:rPr>
        <w:t>3-5 porcích zeleninu a ovoce</w:t>
      </w:r>
      <w:r w:rsidRPr="00257D06">
        <w:rPr>
          <w:rFonts w:asciiTheme="minorHAnsi" w:hAnsiTheme="minorHAnsi"/>
          <w:sz w:val="22"/>
          <w:szCs w:val="22"/>
        </w:rPr>
        <w:t xml:space="preserve">. Dále by mělo mít dítě ve dvou až třech porcích mléko a mléčné výrobky, v </w:t>
      </w:r>
      <w:r w:rsidRPr="00257D06">
        <w:rPr>
          <w:rStyle w:val="Zvraznn"/>
          <w:rFonts w:asciiTheme="minorHAnsi" w:hAnsiTheme="minorHAnsi"/>
          <w:sz w:val="22"/>
          <w:szCs w:val="22"/>
        </w:rPr>
        <w:t>1-2 porcích maso</w:t>
      </w:r>
      <w:r w:rsidRPr="00257D06">
        <w:rPr>
          <w:rFonts w:asciiTheme="minorHAnsi" w:hAnsiTheme="minorHAnsi"/>
          <w:sz w:val="22"/>
          <w:szCs w:val="22"/>
        </w:rPr>
        <w:t xml:space="preserve"> (nezapomínat na </w:t>
      </w:r>
      <w:r w:rsidRPr="00257D06">
        <w:rPr>
          <w:rStyle w:val="Zvraznn"/>
          <w:rFonts w:asciiTheme="minorHAnsi" w:hAnsiTheme="minorHAnsi"/>
          <w:sz w:val="22"/>
          <w:szCs w:val="22"/>
        </w:rPr>
        <w:t>ryby</w:t>
      </w:r>
      <w:r w:rsidRPr="00257D06">
        <w:rPr>
          <w:rFonts w:asciiTheme="minorHAnsi" w:hAnsiTheme="minorHAnsi"/>
          <w:sz w:val="22"/>
          <w:szCs w:val="22"/>
        </w:rPr>
        <w:t xml:space="preserve"> a drůbež), vejce nebo rostlinné produkty s obsahem kvalitní bílkoviny (sójové výrobky, luštěniny). Volné tuky a cukry by měly být konzumovány omezeně. </w:t>
      </w:r>
      <w:r w:rsidRPr="00257D06">
        <w:rPr>
          <w:rStyle w:val="Zvraznn"/>
          <w:rFonts w:asciiTheme="minorHAnsi" w:hAnsiTheme="minorHAnsi"/>
          <w:sz w:val="22"/>
          <w:szCs w:val="22"/>
        </w:rPr>
        <w:t xml:space="preserve">Džusy a slazené nápoje by měly být ředěny vodou, </w:t>
      </w:r>
    </w:p>
    <w:p w:rsidR="00622457" w:rsidRPr="00527045" w:rsidRDefault="00622457" w:rsidP="00622457">
      <w:pPr>
        <w:jc w:val="both"/>
      </w:pPr>
      <w:r w:rsidRPr="00527045">
        <w:t xml:space="preserve">Kompletní výživová doporučení lze </w:t>
      </w:r>
      <w:r>
        <w:t xml:space="preserve">také </w:t>
      </w:r>
      <w:r w:rsidRPr="00527045">
        <w:t>nalézt na www.spolvyziva.cz.</w:t>
      </w:r>
    </w:p>
    <w:p w:rsidR="00622457" w:rsidRDefault="00622457" w:rsidP="00622457">
      <w:pPr>
        <w:jc w:val="both"/>
        <w:rPr>
          <w:rFonts w:cs="Arial"/>
          <w:b/>
        </w:rPr>
      </w:pPr>
    </w:p>
    <w:p w:rsidR="00622457" w:rsidRDefault="00622457" w:rsidP="00622457">
      <w:pPr>
        <w:jc w:val="both"/>
        <w:rPr>
          <w:rFonts w:cs="Arial"/>
          <w:b/>
        </w:rPr>
      </w:pPr>
      <w:r>
        <w:rPr>
          <w:rFonts w:cs="Arial"/>
          <w:b/>
        </w:rPr>
        <w:t>PITNÝ REŽIM</w:t>
      </w:r>
    </w:p>
    <w:p w:rsidR="00622457" w:rsidRDefault="00622457" w:rsidP="00622457">
      <w:pPr>
        <w:jc w:val="both"/>
        <w:rPr>
          <w:rFonts w:cs="Arial"/>
        </w:rPr>
      </w:pPr>
      <w:r w:rsidRPr="00E20F0F">
        <w:rPr>
          <w:rFonts w:cs="Arial"/>
        </w:rPr>
        <w:t>Velmi významnou součástí</w:t>
      </w:r>
      <w:r>
        <w:rPr>
          <w:rFonts w:cs="Arial"/>
        </w:rPr>
        <w:t xml:space="preserve"> správných výživových zvyklostí je pravidelný příjem tekutin a volba vhodného nápoje. </w:t>
      </w:r>
    </w:p>
    <w:p w:rsidR="00622457" w:rsidRDefault="00622457" w:rsidP="00622457">
      <w:pPr>
        <w:jc w:val="both"/>
        <w:rPr>
          <w:rFonts w:cs="Arial"/>
        </w:rPr>
      </w:pPr>
      <w:r>
        <w:rPr>
          <w:rFonts w:cs="Arial"/>
        </w:rPr>
        <w:t>Příjem tekutin v průběhu dne by měl být plynulý, tak aby nehrozilo riziko dehydratace. Při sníženém příjmu tekutin dochází často k bolestem hlavy, únavě, nesoustředěnosti. Také se snižuje množství moče, snižuje se kožní napětí, sliznice jsou oschlé, dochází k poklesu tlaku, zrychlenému tepu, může dojít až ke kolapsu.</w:t>
      </w:r>
    </w:p>
    <w:p w:rsidR="00622457" w:rsidRDefault="00622457" w:rsidP="00622457">
      <w:pPr>
        <w:jc w:val="both"/>
        <w:rPr>
          <w:rFonts w:cs="Arial"/>
        </w:rPr>
      </w:pPr>
      <w:r>
        <w:rPr>
          <w:rFonts w:cs="Arial"/>
        </w:rPr>
        <w:t xml:space="preserve">Jako nejvhodnější nápoj se doporučuje pitná voda (nejlépe z „kohoutku“). U minerálních vod je nutné sledovat obsah rozpuštěných látek, hlavně sodíku (do 100 mg/l), jinak není minerální voda vhodná k časté a dlouhodobé konzumaci. Upřednostňované by měly být neslazené nápoje, pokud jsou vyhledávané sladké, tak raději </w:t>
      </w:r>
      <w:proofErr w:type="gramStart"/>
      <w:r>
        <w:rPr>
          <w:rFonts w:cs="Arial"/>
        </w:rPr>
        <w:t>volit z obsahem</w:t>
      </w:r>
      <w:proofErr w:type="gramEnd"/>
      <w:r>
        <w:rPr>
          <w:rFonts w:cs="Arial"/>
        </w:rPr>
        <w:t xml:space="preserve"> cukru než s umělými sladidly (avšak jen výjimečně do 2 dcl/den). Džusy je vhodné ředit vodou 1:2, čaje pít do 0,5 l / den. Sporadicky konzumovat limonády či kolové nápoje. Zcela nevhodné jsou energetické nápoje a zakázané jsou alkoholické nápoje.</w:t>
      </w:r>
    </w:p>
    <w:p w:rsidR="00622457" w:rsidRPr="00E20F0F" w:rsidRDefault="00622457" w:rsidP="00622457">
      <w:pPr>
        <w:jc w:val="both"/>
        <w:rPr>
          <w:rFonts w:cs="Arial"/>
        </w:rPr>
      </w:pPr>
    </w:p>
    <w:p w:rsidR="00622457" w:rsidRPr="005743B9" w:rsidRDefault="00622457" w:rsidP="00622457">
      <w:pPr>
        <w:jc w:val="both"/>
        <w:rPr>
          <w:rFonts w:cs="Arial"/>
          <w:b/>
        </w:rPr>
      </w:pPr>
      <w:r w:rsidRPr="005743B9">
        <w:rPr>
          <w:rFonts w:cs="Arial"/>
          <w:b/>
        </w:rPr>
        <w:t xml:space="preserve">POTRAVINOVÁ PYRAMIDA </w:t>
      </w:r>
    </w:p>
    <w:p w:rsidR="00622457" w:rsidRPr="005743B9" w:rsidRDefault="00622457" w:rsidP="00622457">
      <w:pPr>
        <w:ind w:firstLine="709"/>
        <w:jc w:val="both"/>
        <w:rPr>
          <w:rFonts w:cs="Arial"/>
        </w:rPr>
      </w:pPr>
      <w:r>
        <w:rPr>
          <w:rFonts w:cs="Arial"/>
        </w:rPr>
        <w:t xml:space="preserve">Jako metodická pomůcka při výběru potravin a potravinových skupin do stravovacího režimu se osvědčila tzv. potravinová pyramida. V průběhu let bylo vytvořeno </w:t>
      </w:r>
      <w:r w:rsidRPr="005743B9">
        <w:rPr>
          <w:rFonts w:cs="Arial"/>
        </w:rPr>
        <w:t>mnoho verzí</w:t>
      </w:r>
      <w:r>
        <w:rPr>
          <w:rFonts w:cs="Arial"/>
        </w:rPr>
        <w:t xml:space="preserve"> potravinových pyramid, cíl měly všechny společný</w:t>
      </w:r>
      <w:r w:rsidRPr="005743B9">
        <w:rPr>
          <w:rFonts w:cs="Arial"/>
        </w:rPr>
        <w:t>.</w:t>
      </w:r>
      <w:r>
        <w:rPr>
          <w:rFonts w:cs="Arial"/>
        </w:rPr>
        <w:t xml:space="preserve"> Jako nejvhodnější se jeví</w:t>
      </w:r>
      <w:r w:rsidRPr="005743B9">
        <w:rPr>
          <w:rFonts w:cs="Arial"/>
        </w:rPr>
        <w:t xml:space="preserve"> tzv. Česká potravinová pyramida dostupná na webu Fórum zdravé výživy (</w:t>
      </w:r>
      <w:hyperlink r:id="rId10" w:history="1">
        <w:r w:rsidRPr="00622457">
          <w:rPr>
            <w:rStyle w:val="Hypertextovodkaz"/>
            <w:rFonts w:cs="Arial"/>
            <w:color w:val="auto"/>
            <w:u w:val="none"/>
          </w:rPr>
          <w:t>www.fzv.cz</w:t>
        </w:r>
      </w:hyperlink>
      <w:r w:rsidRPr="005743B9">
        <w:rPr>
          <w:rFonts w:cs="Arial"/>
        </w:rPr>
        <w:t xml:space="preserve">). </w:t>
      </w:r>
    </w:p>
    <w:p w:rsidR="00622457" w:rsidRDefault="00622457" w:rsidP="00622457">
      <w:pPr>
        <w:ind w:firstLine="709"/>
        <w:jc w:val="both"/>
        <w:rPr>
          <w:rFonts w:cs="Arial"/>
        </w:rPr>
      </w:pPr>
      <w:r>
        <w:rPr>
          <w:rFonts w:cs="Arial"/>
        </w:rPr>
        <w:t>Pyramida je tvořena č</w:t>
      </w:r>
      <w:r w:rsidRPr="005743B9">
        <w:rPr>
          <w:rFonts w:cs="Arial"/>
        </w:rPr>
        <w:t>tyřmi patry</w:t>
      </w:r>
      <w:r>
        <w:rPr>
          <w:rFonts w:cs="Arial"/>
        </w:rPr>
        <w:t xml:space="preserve">, systém řazení potravin dle jejich vhodnosti ke konzumaci je odspoda nahoru a zleva doprava. V </w:t>
      </w:r>
      <w:r w:rsidRPr="005743B9">
        <w:rPr>
          <w:rFonts w:cs="Arial"/>
        </w:rPr>
        <w:t xml:space="preserve">základně pyramidy jsou potraviny, které bychom mohli jíst téměř bez omezení, </w:t>
      </w:r>
      <w:r>
        <w:rPr>
          <w:rFonts w:cs="Arial"/>
        </w:rPr>
        <w:t>až několikrát</w:t>
      </w:r>
      <w:r w:rsidRPr="005743B9">
        <w:rPr>
          <w:rFonts w:cs="Arial"/>
        </w:rPr>
        <w:t xml:space="preserve"> denně</w:t>
      </w:r>
      <w:r>
        <w:rPr>
          <w:rFonts w:cs="Arial"/>
        </w:rPr>
        <w:t>. V</w:t>
      </w:r>
      <w:r w:rsidRPr="005743B9">
        <w:rPr>
          <w:rFonts w:cs="Arial"/>
        </w:rPr>
        <w:t xml:space="preserve">e vrcholu (čtvrtém patře) jsou pak potravinové skupiny, ze kterých bychom měli volit </w:t>
      </w:r>
      <w:r>
        <w:rPr>
          <w:rFonts w:cs="Arial"/>
        </w:rPr>
        <w:t>výjimečně či</w:t>
      </w:r>
      <w:r w:rsidRPr="005743B9">
        <w:rPr>
          <w:rFonts w:cs="Arial"/>
        </w:rPr>
        <w:t xml:space="preserve"> vůbec (uzeniny, konzervy, sladkosti, limonády). </w:t>
      </w:r>
      <w:r>
        <w:rPr>
          <w:rFonts w:cs="Arial"/>
        </w:rPr>
        <w:t>V</w:t>
      </w:r>
      <w:r w:rsidRPr="005743B9">
        <w:rPr>
          <w:rFonts w:cs="Arial"/>
        </w:rPr>
        <w:t xml:space="preserve"> rámci jednoho patra jsou potraviny vhodnější </w:t>
      </w:r>
      <w:r>
        <w:rPr>
          <w:rFonts w:cs="Arial"/>
        </w:rPr>
        <w:t xml:space="preserve">ke konzumaci </w:t>
      </w:r>
      <w:r w:rsidRPr="005743B9">
        <w:rPr>
          <w:rFonts w:cs="Arial"/>
        </w:rPr>
        <w:t xml:space="preserve">umístěné vlevo, potraviny méně vhodné jsou </w:t>
      </w:r>
      <w:r w:rsidRPr="005743B9">
        <w:rPr>
          <w:rFonts w:cs="Arial"/>
        </w:rPr>
        <w:lastRenderedPageBreak/>
        <w:t xml:space="preserve">zařazeny vpravo. </w:t>
      </w:r>
      <w:r>
        <w:rPr>
          <w:rFonts w:cs="Arial"/>
        </w:rPr>
        <w:t xml:space="preserve">Aktuální </w:t>
      </w:r>
      <w:r w:rsidRPr="005743B9">
        <w:rPr>
          <w:rFonts w:cs="Arial"/>
        </w:rPr>
        <w:t>potravinov</w:t>
      </w:r>
      <w:r>
        <w:rPr>
          <w:rFonts w:cs="Arial"/>
        </w:rPr>
        <w:t>á</w:t>
      </w:r>
      <w:r w:rsidRPr="005743B9">
        <w:rPr>
          <w:rFonts w:cs="Arial"/>
        </w:rPr>
        <w:t xml:space="preserve"> pyramid</w:t>
      </w:r>
      <w:r>
        <w:rPr>
          <w:rFonts w:cs="Arial"/>
        </w:rPr>
        <w:t>a má v sobě zahrnuty i nápoje</w:t>
      </w:r>
      <w:r w:rsidRPr="005743B9">
        <w:rPr>
          <w:rFonts w:cs="Arial"/>
        </w:rPr>
        <w:t xml:space="preserve"> (např. do základny </w:t>
      </w:r>
      <w:r>
        <w:rPr>
          <w:rFonts w:cs="Arial"/>
        </w:rPr>
        <w:t xml:space="preserve">byla umístěna </w:t>
      </w:r>
      <w:r w:rsidRPr="005743B9">
        <w:rPr>
          <w:rFonts w:cs="Arial"/>
        </w:rPr>
        <w:t>voda, do druhého patra čaj či džus, do třetího patra víno, do čtvrtého patra sladké limonády a lihovin</w:t>
      </w:r>
      <w:r>
        <w:rPr>
          <w:rFonts w:cs="Arial"/>
        </w:rPr>
        <w:t>y).</w:t>
      </w:r>
    </w:p>
    <w:p w:rsidR="00622457" w:rsidRDefault="00622457" w:rsidP="00622457">
      <w:pPr>
        <w:ind w:firstLine="709"/>
        <w:jc w:val="both"/>
        <w:rPr>
          <w:rFonts w:cs="Arial"/>
        </w:rPr>
      </w:pPr>
    </w:p>
    <w:p w:rsidR="00622457" w:rsidRDefault="00BC33D3" w:rsidP="00622457">
      <w:pPr>
        <w:ind w:firstLine="709"/>
        <w:jc w:val="both"/>
        <w:rPr>
          <w:rFonts w:cs="Arial"/>
        </w:rPr>
      </w:pPr>
      <w:r w:rsidRPr="005743B9">
        <w:rPr>
          <w:b/>
          <w:noProof/>
          <w:lang w:eastAsia="cs-CZ"/>
        </w:rPr>
        <w:drawing>
          <wp:anchor distT="0" distB="0" distL="114300" distR="114300" simplePos="0" relativeHeight="251715584" behindDoc="0" locked="0" layoutInCell="1" allowOverlap="1" wp14:anchorId="4050DFE8" wp14:editId="79AA8E16">
            <wp:simplePos x="0" y="0"/>
            <wp:positionH relativeFrom="column">
              <wp:posOffset>1081405</wp:posOffset>
            </wp:positionH>
            <wp:positionV relativeFrom="paragraph">
              <wp:posOffset>76200</wp:posOffset>
            </wp:positionV>
            <wp:extent cx="3873500" cy="3749675"/>
            <wp:effectExtent l="0" t="0" r="0" b="3175"/>
            <wp:wrapNone/>
            <wp:docPr id="1" name="irc_mi" descr="http://www.bezpecnostpotravin.cz/UserFiles/plakaty/fzv_pyram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zpecnostpotravin.cz/UserFiles/plakaty/fzv_pyramida.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73500" cy="374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457" w:rsidRDefault="00622457" w:rsidP="00622457">
      <w:pPr>
        <w:ind w:firstLine="709"/>
        <w:jc w:val="both"/>
        <w:rPr>
          <w:rFonts w:cs="Arial"/>
        </w:rPr>
      </w:pPr>
    </w:p>
    <w:p w:rsidR="00622457" w:rsidRDefault="00622457" w:rsidP="00622457">
      <w:pPr>
        <w:ind w:firstLine="709"/>
        <w:jc w:val="both"/>
        <w:rPr>
          <w:rFonts w:cs="Arial"/>
        </w:rPr>
      </w:pPr>
    </w:p>
    <w:p w:rsidR="00622457" w:rsidRDefault="00622457" w:rsidP="00622457">
      <w:pPr>
        <w:ind w:firstLine="709"/>
        <w:jc w:val="both"/>
        <w:rPr>
          <w:b/>
        </w:rPr>
      </w:pPr>
    </w:p>
    <w:p w:rsidR="00622457" w:rsidRDefault="00622457" w:rsidP="00622457">
      <w:pPr>
        <w:jc w:val="both"/>
        <w:rPr>
          <w:b/>
        </w:rPr>
      </w:pPr>
    </w:p>
    <w:p w:rsidR="00622457" w:rsidRDefault="00622457" w:rsidP="00622457">
      <w:pPr>
        <w:jc w:val="both"/>
        <w:rPr>
          <w:b/>
        </w:rPr>
      </w:pPr>
    </w:p>
    <w:p w:rsidR="00622457" w:rsidRDefault="00622457" w:rsidP="00622457">
      <w:pPr>
        <w:jc w:val="both"/>
        <w:rPr>
          <w:b/>
        </w:rPr>
      </w:pPr>
    </w:p>
    <w:p w:rsidR="00622457" w:rsidRDefault="00622457" w:rsidP="00622457">
      <w:pPr>
        <w:jc w:val="both"/>
        <w:rPr>
          <w:b/>
        </w:rPr>
      </w:pPr>
    </w:p>
    <w:p w:rsidR="00622457" w:rsidRDefault="00622457" w:rsidP="00622457">
      <w:pPr>
        <w:jc w:val="both"/>
        <w:rPr>
          <w:b/>
        </w:rPr>
      </w:pPr>
    </w:p>
    <w:p w:rsidR="00622457" w:rsidRDefault="00622457" w:rsidP="00622457">
      <w:pPr>
        <w:jc w:val="both"/>
        <w:rPr>
          <w:b/>
        </w:rPr>
      </w:pPr>
    </w:p>
    <w:p w:rsidR="00622457" w:rsidRDefault="00622457" w:rsidP="00622457">
      <w:pPr>
        <w:jc w:val="both"/>
        <w:rPr>
          <w:b/>
        </w:rPr>
      </w:pPr>
    </w:p>
    <w:p w:rsidR="00622457" w:rsidRDefault="00622457" w:rsidP="00622457">
      <w:pPr>
        <w:jc w:val="both"/>
        <w:rPr>
          <w:b/>
        </w:rPr>
      </w:pPr>
    </w:p>
    <w:p w:rsidR="00622457" w:rsidRDefault="00622457" w:rsidP="00622457">
      <w:pPr>
        <w:jc w:val="both"/>
        <w:rPr>
          <w:b/>
        </w:rPr>
      </w:pPr>
    </w:p>
    <w:p w:rsidR="00622457" w:rsidRDefault="00622457" w:rsidP="00622457">
      <w:pPr>
        <w:jc w:val="both"/>
        <w:rPr>
          <w:b/>
        </w:rPr>
      </w:pPr>
    </w:p>
    <w:p w:rsidR="00622457" w:rsidRDefault="00622457" w:rsidP="00622457">
      <w:pPr>
        <w:jc w:val="both"/>
        <w:rPr>
          <w:b/>
        </w:rPr>
      </w:pPr>
    </w:p>
    <w:p w:rsidR="00622457" w:rsidRDefault="00622457" w:rsidP="00622457">
      <w:pPr>
        <w:jc w:val="both"/>
        <w:rPr>
          <w:b/>
        </w:rPr>
      </w:pPr>
    </w:p>
    <w:p w:rsidR="00622457" w:rsidRDefault="00622457" w:rsidP="00622457">
      <w:pPr>
        <w:jc w:val="center"/>
      </w:pPr>
      <w:r w:rsidRPr="00BA4A41">
        <w:t xml:space="preserve">Obr. 2 Česká potravinová pyramida (převzato </w:t>
      </w:r>
      <w:r w:rsidRPr="00622457">
        <w:t>z </w:t>
      </w:r>
      <w:hyperlink r:id="rId13" w:history="1">
        <w:r w:rsidRPr="00622457">
          <w:rPr>
            <w:rStyle w:val="Hypertextovodkaz"/>
            <w:rFonts w:cs="Calibri"/>
            <w:color w:val="auto"/>
            <w:u w:val="none"/>
          </w:rPr>
          <w:t>www.fzv.cz</w:t>
        </w:r>
      </w:hyperlink>
      <w:r w:rsidRPr="00BA4A41">
        <w:t>)</w:t>
      </w:r>
    </w:p>
    <w:p w:rsidR="00DF7418" w:rsidRDefault="00622457" w:rsidP="008E4AF5">
      <w:pPr>
        <w:jc w:val="both"/>
        <w:rPr>
          <w:sz w:val="28"/>
          <w:szCs w:val="28"/>
          <w:u w:val="single"/>
        </w:rPr>
      </w:pPr>
      <w:r>
        <w:t xml:space="preserve">K problematice výživy a stravování lze doporučit studium literatury a internetových zdrojů uvedených na konci textu. </w:t>
      </w:r>
    </w:p>
    <w:p w:rsidR="00BC33D3" w:rsidRDefault="00BC33D3">
      <w:pPr>
        <w:rPr>
          <w:sz w:val="28"/>
          <w:szCs w:val="28"/>
          <w:u w:val="single"/>
        </w:rPr>
      </w:pPr>
      <w:r>
        <w:rPr>
          <w:sz w:val="28"/>
          <w:szCs w:val="28"/>
          <w:u w:val="single"/>
        </w:rPr>
        <w:br w:type="page"/>
      </w:r>
    </w:p>
    <w:p w:rsidR="00B90DEE" w:rsidRDefault="00B90DEE" w:rsidP="00C10E20">
      <w:pPr>
        <w:spacing w:after="0"/>
        <w:jc w:val="both"/>
        <w:rPr>
          <w:sz w:val="28"/>
          <w:szCs w:val="28"/>
          <w:u w:val="single"/>
        </w:rPr>
      </w:pPr>
      <w:r w:rsidRPr="00B90DEE">
        <w:rPr>
          <w:sz w:val="28"/>
          <w:szCs w:val="28"/>
          <w:u w:val="single"/>
        </w:rPr>
        <w:lastRenderedPageBreak/>
        <w:t>Seznam použité literatury</w:t>
      </w:r>
    </w:p>
    <w:p w:rsidR="00622457" w:rsidRDefault="00622457" w:rsidP="00622457">
      <w:pPr>
        <w:tabs>
          <w:tab w:val="num" w:pos="540"/>
        </w:tabs>
        <w:spacing w:after="0"/>
      </w:pPr>
      <w:r>
        <w:rPr>
          <w:caps/>
        </w:rPr>
        <w:t>Blattná</w:t>
      </w:r>
      <w:r>
        <w:t xml:space="preserve">, Jarmila et al. </w:t>
      </w:r>
      <w:r>
        <w:rPr>
          <w:i/>
          <w:iCs/>
        </w:rPr>
        <w:t>Výživa na za</w:t>
      </w:r>
      <w:r>
        <w:rPr>
          <w:rFonts w:hint="eastAsia"/>
          <w:i/>
          <w:iCs/>
        </w:rPr>
        <w:t>čá</w:t>
      </w:r>
      <w:r>
        <w:rPr>
          <w:i/>
          <w:iCs/>
        </w:rPr>
        <w:t>tku 21. století, aneb, O výživ</w:t>
      </w:r>
      <w:r>
        <w:rPr>
          <w:rFonts w:hint="eastAsia"/>
          <w:i/>
          <w:iCs/>
        </w:rPr>
        <w:t>ě</w:t>
      </w:r>
      <w:r>
        <w:rPr>
          <w:i/>
          <w:iCs/>
        </w:rPr>
        <w:t xml:space="preserve"> aktuáln</w:t>
      </w:r>
      <w:r>
        <w:rPr>
          <w:rFonts w:hint="eastAsia"/>
          <w:i/>
          <w:iCs/>
        </w:rPr>
        <w:t>ě</w:t>
      </w:r>
      <w:r>
        <w:rPr>
          <w:i/>
          <w:iCs/>
        </w:rPr>
        <w:t xml:space="preserve"> a se zárukou</w:t>
      </w:r>
      <w:r>
        <w:t>. Praha: Spole</w:t>
      </w:r>
      <w:r>
        <w:rPr>
          <w:rFonts w:hint="eastAsia"/>
        </w:rPr>
        <w:t>č</w:t>
      </w:r>
      <w:r>
        <w:t xml:space="preserve">nost pro výživu, 2005. 79 s., [4] s. barev. </w:t>
      </w:r>
      <w:proofErr w:type="gramStart"/>
      <w:r>
        <w:t>obr.</w:t>
      </w:r>
      <w:proofErr w:type="gramEnd"/>
      <w:r>
        <w:t xml:space="preserve"> </w:t>
      </w:r>
      <w:proofErr w:type="spellStart"/>
      <w:r>
        <w:t>p</w:t>
      </w:r>
      <w:r>
        <w:rPr>
          <w:rFonts w:hint="eastAsia"/>
        </w:rPr>
        <w:t>ří</w:t>
      </w:r>
      <w:r>
        <w:t>l</w:t>
      </w:r>
      <w:proofErr w:type="spellEnd"/>
      <w:r>
        <w:t>. ISBN 80-239-6202-7.</w:t>
      </w:r>
    </w:p>
    <w:p w:rsidR="00622457" w:rsidRDefault="00622457" w:rsidP="00622457">
      <w:pPr>
        <w:tabs>
          <w:tab w:val="num" w:pos="540"/>
        </w:tabs>
        <w:spacing w:after="0"/>
      </w:pPr>
      <w:r>
        <w:rPr>
          <w:caps/>
        </w:rPr>
        <w:t>Fra</w:t>
      </w:r>
      <w:r>
        <w:rPr>
          <w:rFonts w:hint="eastAsia"/>
          <w:caps/>
        </w:rPr>
        <w:t>ň</w:t>
      </w:r>
      <w:r>
        <w:rPr>
          <w:caps/>
        </w:rPr>
        <w:t>ková</w:t>
      </w:r>
      <w:r>
        <w:t xml:space="preserve">, Slávka, </w:t>
      </w:r>
      <w:r>
        <w:rPr>
          <w:caps/>
        </w:rPr>
        <w:t>Odehnal</w:t>
      </w:r>
      <w:r>
        <w:t>, Ji</w:t>
      </w:r>
      <w:r>
        <w:rPr>
          <w:rFonts w:hint="eastAsia"/>
        </w:rPr>
        <w:t>ří</w:t>
      </w:r>
      <w:r>
        <w:t xml:space="preserve"> a </w:t>
      </w:r>
      <w:r>
        <w:rPr>
          <w:caps/>
        </w:rPr>
        <w:t>Pa</w:t>
      </w:r>
      <w:r>
        <w:rPr>
          <w:rFonts w:hint="eastAsia"/>
          <w:caps/>
        </w:rPr>
        <w:t>ří</w:t>
      </w:r>
      <w:r>
        <w:rPr>
          <w:caps/>
        </w:rPr>
        <w:t>zková</w:t>
      </w:r>
      <w:r>
        <w:t xml:space="preserve">, Jana. </w:t>
      </w:r>
      <w:r>
        <w:rPr>
          <w:i/>
          <w:iCs/>
        </w:rPr>
        <w:t>Výživa a vývoj osobnosti dít</w:t>
      </w:r>
      <w:r>
        <w:rPr>
          <w:rFonts w:hint="eastAsia"/>
          <w:i/>
          <w:iCs/>
        </w:rPr>
        <w:t>ě</w:t>
      </w:r>
      <w:r>
        <w:rPr>
          <w:i/>
          <w:iCs/>
        </w:rPr>
        <w:t>te</w:t>
      </w:r>
      <w:r>
        <w:t xml:space="preserve">. Vyd. 1. Praha: HZ </w:t>
      </w:r>
      <w:proofErr w:type="spellStart"/>
      <w:r>
        <w:t>Editio</w:t>
      </w:r>
      <w:proofErr w:type="spellEnd"/>
      <w:r>
        <w:t xml:space="preserve">, 2000. 198 s., [16] s. </w:t>
      </w:r>
      <w:proofErr w:type="spellStart"/>
      <w:r>
        <w:t>il</w:t>
      </w:r>
      <w:proofErr w:type="spellEnd"/>
      <w:r>
        <w:t>. ISBN 80-86009-32-7.</w:t>
      </w:r>
    </w:p>
    <w:p w:rsidR="00622457" w:rsidRDefault="00622457" w:rsidP="00622457">
      <w:pPr>
        <w:tabs>
          <w:tab w:val="num" w:pos="540"/>
        </w:tabs>
        <w:spacing w:after="0"/>
        <w:jc w:val="both"/>
      </w:pPr>
      <w:r>
        <w:rPr>
          <w:caps/>
        </w:rPr>
        <w:t>Fra</w:t>
      </w:r>
      <w:r>
        <w:rPr>
          <w:rFonts w:hint="eastAsia"/>
          <w:caps/>
        </w:rPr>
        <w:t>ň</w:t>
      </w:r>
      <w:r>
        <w:rPr>
          <w:caps/>
        </w:rPr>
        <w:t>ková</w:t>
      </w:r>
      <w:r>
        <w:t xml:space="preserve">, Slávka a </w:t>
      </w:r>
      <w:r>
        <w:rPr>
          <w:caps/>
        </w:rPr>
        <w:t>Dvo</w:t>
      </w:r>
      <w:r>
        <w:rPr>
          <w:rFonts w:hint="eastAsia"/>
          <w:caps/>
        </w:rPr>
        <w:t>řá</w:t>
      </w:r>
      <w:r>
        <w:rPr>
          <w:caps/>
        </w:rPr>
        <w:t>ková-Jan</w:t>
      </w:r>
      <w:r>
        <w:rPr>
          <w:rFonts w:hint="eastAsia"/>
          <w:caps/>
        </w:rPr>
        <w:t>ů</w:t>
      </w:r>
      <w:r>
        <w:t>, V</w:t>
      </w:r>
      <w:r>
        <w:rPr>
          <w:rFonts w:hint="eastAsia"/>
        </w:rPr>
        <w:t>ě</w:t>
      </w:r>
      <w:r>
        <w:t xml:space="preserve">ra. </w:t>
      </w:r>
      <w:r>
        <w:rPr>
          <w:i/>
          <w:iCs/>
        </w:rPr>
        <w:t>Psychologie výživy a sociální aspekty jídla</w:t>
      </w:r>
      <w:r>
        <w:t>. 1. vyd. Praha: Karolinum, 2003. 256 s. U</w:t>
      </w:r>
      <w:r>
        <w:rPr>
          <w:rFonts w:hint="eastAsia"/>
        </w:rPr>
        <w:t>č</w:t>
      </w:r>
      <w:r>
        <w:t>ební texty Univerzity Karlovy v Praze. ISBN 80-246-0548-1.</w:t>
      </w:r>
    </w:p>
    <w:p w:rsidR="001874C5" w:rsidRDefault="007977F9" w:rsidP="001874C5">
      <w:pPr>
        <w:spacing w:after="0" w:line="240" w:lineRule="auto"/>
        <w:jc w:val="both"/>
      </w:pPr>
      <w:r w:rsidRPr="001874C5">
        <w:rPr>
          <w:rFonts w:cs="Arial"/>
        </w:rPr>
        <w:t>HOLČÍK</w:t>
      </w:r>
      <w:r w:rsidR="001874C5" w:rsidRPr="001874C5">
        <w:rPr>
          <w:rFonts w:cs="Arial"/>
        </w:rPr>
        <w:t>, Jan. </w:t>
      </w:r>
      <w:r w:rsidR="001874C5" w:rsidRPr="001874C5">
        <w:rPr>
          <w:rFonts w:cs="Arial"/>
          <w:i/>
          <w:iCs/>
        </w:rPr>
        <w:t>Zdravotní gramotnost a její role v péči o zdraví: k teoretickým základům cesty ke zdraví</w:t>
      </w:r>
      <w:r w:rsidR="00E610FE">
        <w:rPr>
          <w:rFonts w:cs="Arial"/>
        </w:rPr>
        <w:t>. 1. vyd. Brno: MSD, 2008</w:t>
      </w:r>
      <w:r w:rsidR="001874C5" w:rsidRPr="001874C5">
        <w:rPr>
          <w:rFonts w:cs="Arial"/>
        </w:rPr>
        <w:t>. 149 s. ISBN 978-80-7392-089-0.</w:t>
      </w:r>
    </w:p>
    <w:p w:rsidR="001874C5" w:rsidRDefault="001874C5" w:rsidP="001874C5">
      <w:pPr>
        <w:autoSpaceDE w:val="0"/>
        <w:autoSpaceDN w:val="0"/>
        <w:adjustRightInd w:val="0"/>
        <w:spacing w:after="0"/>
        <w:rPr>
          <w:rFonts w:eastAsia="Arial Unicode MS"/>
          <w:caps/>
        </w:rPr>
      </w:pPr>
      <w:r>
        <w:rPr>
          <w:rFonts w:eastAsia="MyriadPro-Regular" w:cs="MyriadPro-Regular"/>
        </w:rPr>
        <w:t>HRUBÁ</w:t>
      </w:r>
      <w:r w:rsidRPr="00770B46">
        <w:rPr>
          <w:rFonts w:eastAsia="MyriadPro-Regular" w:cs="MyriadPro-Regular"/>
        </w:rPr>
        <w:t>, D</w:t>
      </w:r>
      <w:r>
        <w:rPr>
          <w:rFonts w:eastAsia="MyriadPro-Regular" w:cs="MyriadPro-Regular"/>
        </w:rPr>
        <w:t>rahoslava</w:t>
      </w:r>
      <w:r w:rsidRPr="00770B46">
        <w:rPr>
          <w:rFonts w:eastAsia="MyriadPro-Regular" w:cs="MyriadPro-Regular"/>
        </w:rPr>
        <w:t xml:space="preserve">. </w:t>
      </w:r>
      <w:r w:rsidRPr="00770B46">
        <w:rPr>
          <w:rFonts w:eastAsia="MyriadPro-It" w:cs="MyriadPro-It"/>
          <w:i/>
          <w:iCs/>
        </w:rPr>
        <w:t>Aby vaš</w:t>
      </w:r>
      <w:r>
        <w:rPr>
          <w:rFonts w:eastAsia="MyriadPro-It" w:cs="MyriadPro-It"/>
          <w:i/>
          <w:iCs/>
        </w:rPr>
        <w:t>e dí</w:t>
      </w:r>
      <w:r w:rsidRPr="00770B46">
        <w:rPr>
          <w:rFonts w:eastAsia="MyriadPro-It" w:cs="MyriadPro-It"/>
          <w:i/>
          <w:iCs/>
        </w:rPr>
        <w:t>tě nekouřilo</w:t>
      </w:r>
      <w:r w:rsidRPr="00770B46">
        <w:rPr>
          <w:rFonts w:eastAsia="MyriadPro-Regular" w:cs="MyriadPro-Regular"/>
        </w:rPr>
        <w:t>. Praha: Liga proti rakovině, 2008. 18 s. Bez</w:t>
      </w:r>
      <w:r>
        <w:rPr>
          <w:rFonts w:eastAsia="MyriadPro-Regular" w:cs="MyriadPro-Regular"/>
        </w:rPr>
        <w:t xml:space="preserve"> </w:t>
      </w:r>
      <w:r w:rsidRPr="00770B46">
        <w:rPr>
          <w:rFonts w:eastAsia="MyriadPro-Regular" w:cs="MyriadPro-Regular"/>
        </w:rPr>
        <w:t>ISBN.</w:t>
      </w:r>
    </w:p>
    <w:p w:rsidR="00622457" w:rsidRDefault="00622457" w:rsidP="00622457">
      <w:pPr>
        <w:tabs>
          <w:tab w:val="num" w:pos="540"/>
        </w:tabs>
        <w:spacing w:after="0"/>
        <w:jc w:val="both"/>
        <w:rPr>
          <w:rFonts w:eastAsia="Arial Unicode MS"/>
          <w:caps/>
        </w:rPr>
      </w:pPr>
      <w:r>
        <w:rPr>
          <w:caps/>
        </w:rPr>
        <w:t>H</w:t>
      </w:r>
      <w:r>
        <w:rPr>
          <w:rFonts w:hint="eastAsia"/>
          <w:caps/>
        </w:rPr>
        <w:t>ř</w:t>
      </w:r>
      <w:r>
        <w:rPr>
          <w:caps/>
        </w:rPr>
        <w:t>ivnová</w:t>
      </w:r>
      <w:r>
        <w:t xml:space="preserve">, Michaela a kol. </w:t>
      </w:r>
      <w:r>
        <w:rPr>
          <w:i/>
          <w:iCs/>
        </w:rPr>
        <w:t>St</w:t>
      </w:r>
      <w:r>
        <w:rPr>
          <w:rFonts w:hint="eastAsia"/>
          <w:i/>
          <w:iCs/>
        </w:rPr>
        <w:t>ěž</w:t>
      </w:r>
      <w:r>
        <w:rPr>
          <w:i/>
          <w:iCs/>
        </w:rPr>
        <w:t>ejní aspekty výchovy ke zdraví</w:t>
      </w:r>
      <w:r>
        <w:t>. 1. vyd. Olomouc: Univerzita Palackého v Olomouci, 2010. 151 s. ISBN 978-80-244-2503-0.</w:t>
      </w:r>
    </w:p>
    <w:p w:rsidR="00622457" w:rsidRDefault="00622457" w:rsidP="00622457">
      <w:pPr>
        <w:tabs>
          <w:tab w:val="num" w:pos="540"/>
        </w:tabs>
        <w:spacing w:after="0"/>
        <w:jc w:val="both"/>
        <w:rPr>
          <w:rFonts w:eastAsia="Arial Unicode MS"/>
          <w:caps/>
        </w:rPr>
      </w:pPr>
      <w:r>
        <w:rPr>
          <w:caps/>
        </w:rPr>
        <w:t>H</w:t>
      </w:r>
      <w:r>
        <w:rPr>
          <w:rFonts w:hint="eastAsia"/>
          <w:caps/>
        </w:rPr>
        <w:t>ř</w:t>
      </w:r>
      <w:r>
        <w:rPr>
          <w:caps/>
        </w:rPr>
        <w:t>ivnová</w:t>
      </w:r>
      <w:r>
        <w:t xml:space="preserve">, Michaela a </w:t>
      </w:r>
      <w:r>
        <w:rPr>
          <w:caps/>
        </w:rPr>
        <w:t>Koš</w:t>
      </w:r>
      <w:r>
        <w:rPr>
          <w:rFonts w:hint="eastAsia"/>
          <w:caps/>
        </w:rPr>
        <w:t>ťá</w:t>
      </w:r>
      <w:r>
        <w:rPr>
          <w:caps/>
        </w:rPr>
        <w:t>lová</w:t>
      </w:r>
      <w:r>
        <w:t xml:space="preserve">, Alexandra. </w:t>
      </w:r>
      <w:r>
        <w:rPr>
          <w:i/>
          <w:iCs/>
        </w:rPr>
        <w:t>Lexikon dobré praxe: výchova ke zdraví a zdravému životnímu stylu v mate</w:t>
      </w:r>
      <w:r>
        <w:rPr>
          <w:rFonts w:hint="eastAsia"/>
          <w:i/>
          <w:iCs/>
        </w:rPr>
        <w:t>ř</w:t>
      </w:r>
      <w:r>
        <w:rPr>
          <w:i/>
          <w:iCs/>
        </w:rPr>
        <w:t>ské škole</w:t>
      </w:r>
      <w:r>
        <w:t xml:space="preserve">. 1. vyd. Brno: </w:t>
      </w:r>
      <w:proofErr w:type="spellStart"/>
      <w:r>
        <w:t>Anabell</w:t>
      </w:r>
      <w:proofErr w:type="spellEnd"/>
      <w:r>
        <w:t xml:space="preserve">, ©2013. 82, 24 s., [2] s. obr. </w:t>
      </w:r>
      <w:proofErr w:type="spellStart"/>
      <w:r>
        <w:t>p</w:t>
      </w:r>
      <w:r>
        <w:rPr>
          <w:rFonts w:hint="eastAsia"/>
        </w:rPr>
        <w:t>ří</w:t>
      </w:r>
      <w:r>
        <w:t>l</w:t>
      </w:r>
      <w:proofErr w:type="spellEnd"/>
      <w:r>
        <w:t>. ISBN 978-80-905436-2-1.</w:t>
      </w:r>
    </w:p>
    <w:p w:rsidR="00622457" w:rsidRDefault="00622457" w:rsidP="00622457">
      <w:pPr>
        <w:tabs>
          <w:tab w:val="num" w:pos="540"/>
        </w:tabs>
        <w:spacing w:after="0"/>
        <w:jc w:val="both"/>
      </w:pPr>
      <w:r>
        <w:rPr>
          <w:caps/>
        </w:rPr>
        <w:t>H</w:t>
      </w:r>
      <w:r>
        <w:rPr>
          <w:rFonts w:hint="eastAsia"/>
          <w:caps/>
        </w:rPr>
        <w:t>ř</w:t>
      </w:r>
      <w:r>
        <w:rPr>
          <w:caps/>
        </w:rPr>
        <w:t>ivnová</w:t>
      </w:r>
      <w:r>
        <w:t xml:space="preserve">, Michaela. </w:t>
      </w:r>
      <w:r>
        <w:rPr>
          <w:i/>
          <w:iCs/>
        </w:rPr>
        <w:t>Základní aspekty výživy</w:t>
      </w:r>
      <w:r>
        <w:t>. 1. vyd. Olomouc: Univerzita Palackého v Olomouci, 2014. 95 s. Studijní opora. ISBN 978-80-244-4034-7.</w:t>
      </w:r>
    </w:p>
    <w:p w:rsidR="001874C5" w:rsidRDefault="001874C5" w:rsidP="001874C5">
      <w:pPr>
        <w:spacing w:after="0"/>
        <w:jc w:val="both"/>
        <w:rPr>
          <w:rFonts w:eastAsia="Arial Unicode MS"/>
          <w:caps/>
        </w:rPr>
      </w:pPr>
      <w:r w:rsidRPr="00770B46">
        <w:rPr>
          <w:rFonts w:eastAsia="MyriadPro-Regular" w:cs="MyriadPro-Regular"/>
        </w:rPr>
        <w:t xml:space="preserve">KALMAN, </w:t>
      </w:r>
      <w:proofErr w:type="gramStart"/>
      <w:r w:rsidRPr="00770B46">
        <w:rPr>
          <w:rFonts w:eastAsia="MyriadPro-Regular" w:cs="MyriadPro-Regular"/>
        </w:rPr>
        <w:t>M</w:t>
      </w:r>
      <w:r>
        <w:rPr>
          <w:rFonts w:eastAsia="MyriadPro-Regular" w:cs="MyriadPro-Regular"/>
        </w:rPr>
        <w:t>ichal</w:t>
      </w:r>
      <w:r w:rsidRPr="00770B46">
        <w:rPr>
          <w:rFonts w:eastAsia="MyriadPro-Regular" w:cs="MyriadPro-Regular"/>
        </w:rPr>
        <w:t>. a kol</w:t>
      </w:r>
      <w:proofErr w:type="gramEnd"/>
      <w:r w:rsidRPr="00770B46">
        <w:rPr>
          <w:rFonts w:eastAsia="MyriadPro-Regular" w:cs="MyriadPro-Regular"/>
        </w:rPr>
        <w:t xml:space="preserve">. </w:t>
      </w:r>
      <w:proofErr w:type="spellStart"/>
      <w:r w:rsidRPr="00770B46">
        <w:rPr>
          <w:rFonts w:eastAsia="MyriadPro-It" w:cs="MyriadPro-It"/>
          <w:i/>
          <w:iCs/>
        </w:rPr>
        <w:t>N</w:t>
      </w:r>
      <w:r>
        <w:rPr>
          <w:rFonts w:eastAsia="MyriadPro-It" w:cs="MyriadPro-It"/>
          <w:i/>
          <w:iCs/>
        </w:rPr>
        <w:t>árodni</w:t>
      </w:r>
      <w:proofErr w:type="spellEnd"/>
      <w:r>
        <w:rPr>
          <w:rFonts w:eastAsia="MyriadPro-It" w:cs="MyriadPro-It"/>
          <w:i/>
          <w:iCs/>
        </w:rPr>
        <w:t xml:space="preserve"> zprava o zdraví</w:t>
      </w:r>
      <w:r w:rsidRPr="00770B46">
        <w:rPr>
          <w:rFonts w:eastAsia="MyriadPro-It" w:cs="MyriadPro-It"/>
          <w:i/>
          <w:iCs/>
        </w:rPr>
        <w:t xml:space="preserve"> a ž</w:t>
      </w:r>
      <w:r>
        <w:rPr>
          <w:rFonts w:eastAsia="MyriadPro-It" w:cs="MyriadPro-It"/>
          <w:i/>
          <w:iCs/>
        </w:rPr>
        <w:t>ivotní</w:t>
      </w:r>
      <w:r w:rsidRPr="00770B46">
        <w:rPr>
          <w:rFonts w:eastAsia="MyriadPro-It" w:cs="MyriadPro-It"/>
          <w:i/>
          <w:iCs/>
        </w:rPr>
        <w:t>m stylu děti a š</w:t>
      </w:r>
      <w:r>
        <w:rPr>
          <w:rFonts w:eastAsia="MyriadPro-It" w:cs="MyriadPro-It"/>
          <w:i/>
          <w:iCs/>
        </w:rPr>
        <w:t>kolá</w:t>
      </w:r>
      <w:r w:rsidRPr="00770B46">
        <w:rPr>
          <w:rFonts w:eastAsia="MyriadPro-It" w:cs="MyriadPro-It"/>
          <w:i/>
          <w:iCs/>
        </w:rPr>
        <w:t>ků: na</w:t>
      </w:r>
      <w:r>
        <w:rPr>
          <w:rFonts w:eastAsia="MyriadPro-It" w:cs="MyriadPro-It"/>
          <w:i/>
          <w:iCs/>
        </w:rPr>
        <w:t xml:space="preserve"> zá</w:t>
      </w:r>
      <w:r w:rsidRPr="00770B46">
        <w:rPr>
          <w:rFonts w:eastAsia="MyriadPro-It" w:cs="MyriadPro-It"/>
          <w:i/>
          <w:iCs/>
        </w:rPr>
        <w:t>kladě</w:t>
      </w:r>
      <w:r>
        <w:rPr>
          <w:rFonts w:eastAsia="MyriadPro-It" w:cs="MyriadPro-It"/>
          <w:i/>
          <w:iCs/>
        </w:rPr>
        <w:t xml:space="preserve"> mezinárodního vý</w:t>
      </w:r>
      <w:r w:rsidRPr="00770B46">
        <w:rPr>
          <w:rFonts w:eastAsia="MyriadPro-It" w:cs="MyriadPro-It"/>
          <w:i/>
          <w:iCs/>
        </w:rPr>
        <w:t>zkumu uskutečně</w:t>
      </w:r>
      <w:r>
        <w:rPr>
          <w:rFonts w:eastAsia="MyriadPro-It" w:cs="MyriadPro-It"/>
          <w:i/>
          <w:iCs/>
        </w:rPr>
        <w:t>ného v roce 2010 v rámci mezinárodní</w:t>
      </w:r>
      <w:r w:rsidRPr="00770B46">
        <w:rPr>
          <w:rFonts w:eastAsia="MyriadPro-It" w:cs="MyriadPro-It"/>
          <w:i/>
          <w:iCs/>
        </w:rPr>
        <w:t>ho</w:t>
      </w:r>
      <w:r>
        <w:rPr>
          <w:rFonts w:eastAsia="MyriadPro-It" w:cs="MyriadPro-It"/>
          <w:i/>
          <w:iCs/>
        </w:rPr>
        <w:t xml:space="preserve"> </w:t>
      </w:r>
      <w:r w:rsidRPr="00770B46">
        <w:rPr>
          <w:rFonts w:eastAsia="MyriadPro-It" w:cs="MyriadPro-It"/>
          <w:i/>
          <w:iCs/>
        </w:rPr>
        <w:t>projektu „</w:t>
      </w:r>
      <w:proofErr w:type="spellStart"/>
      <w:r w:rsidRPr="00770B46">
        <w:rPr>
          <w:rFonts w:eastAsia="MyriadPro-It" w:cs="MyriadPro-It"/>
          <w:i/>
          <w:iCs/>
        </w:rPr>
        <w:t>Health</w:t>
      </w:r>
      <w:proofErr w:type="spellEnd"/>
      <w:r w:rsidRPr="00770B46">
        <w:rPr>
          <w:rFonts w:eastAsia="MyriadPro-It" w:cs="MyriadPro-It"/>
          <w:i/>
          <w:iCs/>
        </w:rPr>
        <w:t xml:space="preserve"> </w:t>
      </w:r>
      <w:proofErr w:type="spellStart"/>
      <w:r w:rsidRPr="00770B46">
        <w:rPr>
          <w:rFonts w:eastAsia="MyriadPro-It" w:cs="MyriadPro-It"/>
          <w:i/>
          <w:iCs/>
        </w:rPr>
        <w:t>behaviour</w:t>
      </w:r>
      <w:proofErr w:type="spellEnd"/>
      <w:r w:rsidRPr="00770B46">
        <w:rPr>
          <w:rFonts w:eastAsia="MyriadPro-It" w:cs="MyriadPro-It"/>
          <w:i/>
          <w:iCs/>
        </w:rPr>
        <w:t xml:space="preserve"> in </w:t>
      </w:r>
      <w:proofErr w:type="spellStart"/>
      <w:r w:rsidRPr="00770B46">
        <w:rPr>
          <w:rFonts w:eastAsia="MyriadPro-It" w:cs="MyriadPro-It"/>
          <w:i/>
          <w:iCs/>
        </w:rPr>
        <w:t>school-aged</w:t>
      </w:r>
      <w:proofErr w:type="spellEnd"/>
      <w:r w:rsidRPr="00770B46">
        <w:rPr>
          <w:rFonts w:eastAsia="MyriadPro-It" w:cs="MyriadPro-It"/>
          <w:i/>
          <w:iCs/>
        </w:rPr>
        <w:t xml:space="preserve"> </w:t>
      </w:r>
      <w:proofErr w:type="spellStart"/>
      <w:r w:rsidRPr="00770B46">
        <w:rPr>
          <w:rFonts w:eastAsia="MyriadPro-It" w:cs="MyriadPro-It"/>
          <w:i/>
          <w:iCs/>
        </w:rPr>
        <w:t>children</w:t>
      </w:r>
      <w:proofErr w:type="spellEnd"/>
      <w:r w:rsidRPr="00770B46">
        <w:rPr>
          <w:rFonts w:eastAsia="MyriadPro-It" w:cs="MyriadPro-It"/>
          <w:i/>
          <w:iCs/>
        </w:rPr>
        <w:t xml:space="preserve">: WHO </w:t>
      </w:r>
      <w:proofErr w:type="spellStart"/>
      <w:r w:rsidRPr="00770B46">
        <w:rPr>
          <w:rFonts w:eastAsia="MyriadPro-It" w:cs="MyriadPro-It"/>
          <w:i/>
          <w:iCs/>
        </w:rPr>
        <w:t>collaborativecross-national</w:t>
      </w:r>
      <w:proofErr w:type="spellEnd"/>
      <w:r w:rsidRPr="00770B46">
        <w:rPr>
          <w:rFonts w:eastAsia="MyriadPro-It" w:cs="MyriadPro-It"/>
          <w:i/>
          <w:iCs/>
        </w:rPr>
        <w:t xml:space="preserve"> study (HBSC)“</w:t>
      </w:r>
      <w:r w:rsidRPr="00770B46">
        <w:rPr>
          <w:rFonts w:eastAsia="MyriadPro-Regular" w:cs="MyriadPro-Regular"/>
        </w:rPr>
        <w:t xml:space="preserve">. 1. </w:t>
      </w:r>
      <w:r>
        <w:rPr>
          <w:rFonts w:eastAsia="MyriadPro-Regular" w:cs="MyriadPro-Regular"/>
        </w:rPr>
        <w:t>vyd. Olomouc: Univerzita Palacké</w:t>
      </w:r>
      <w:r w:rsidRPr="00770B46">
        <w:rPr>
          <w:rFonts w:eastAsia="MyriadPro-Regular" w:cs="MyriadPro-Regular"/>
        </w:rPr>
        <w:t xml:space="preserve">ho v </w:t>
      </w:r>
      <w:proofErr w:type="gramStart"/>
      <w:r w:rsidRPr="00770B46">
        <w:rPr>
          <w:rFonts w:eastAsia="MyriadPro-Regular" w:cs="MyriadPro-Regular"/>
        </w:rPr>
        <w:t>Olomouci,2011</w:t>
      </w:r>
      <w:proofErr w:type="gramEnd"/>
      <w:r w:rsidRPr="00770B46">
        <w:rPr>
          <w:rFonts w:eastAsia="MyriadPro-Regular" w:cs="MyriadPro-Regular"/>
        </w:rPr>
        <w:t>. 112 s. ISBN 978-80-244-2983-0.</w:t>
      </w:r>
    </w:p>
    <w:p w:rsidR="00622457" w:rsidRDefault="00622457" w:rsidP="00622457">
      <w:pPr>
        <w:spacing w:after="0"/>
      </w:pPr>
      <w:r>
        <w:rPr>
          <w:caps/>
        </w:rPr>
        <w:t>Kopecký</w:t>
      </w:r>
      <w:r>
        <w:t xml:space="preserve">, Miroslav a kol. </w:t>
      </w:r>
      <w:r>
        <w:rPr>
          <w:i/>
          <w:iCs/>
        </w:rPr>
        <w:t>Somatologie</w:t>
      </w:r>
      <w:r>
        <w:t>. 1. vyd. Olomouc: Univerzita Palackého v Olomouci, 2010. 313 s. U</w:t>
      </w:r>
      <w:r>
        <w:rPr>
          <w:rFonts w:hint="eastAsia"/>
        </w:rPr>
        <w:t>č</w:t>
      </w:r>
      <w:r>
        <w:t>ebnice. ISBN 978-80-244-2271-8.</w:t>
      </w:r>
    </w:p>
    <w:p w:rsidR="00622457" w:rsidRDefault="00622457" w:rsidP="00622457">
      <w:pPr>
        <w:tabs>
          <w:tab w:val="num" w:pos="540"/>
        </w:tabs>
        <w:spacing w:after="0"/>
        <w:jc w:val="both"/>
      </w:pPr>
      <w:r>
        <w:t xml:space="preserve">KOŽÍŠEK, František. </w:t>
      </w:r>
      <w:r>
        <w:rPr>
          <w:i/>
        </w:rPr>
        <w:t>Pitný režim</w:t>
      </w:r>
      <w:r>
        <w:t xml:space="preserve">. Informační leták. Praha: SZÚ, 2006 </w:t>
      </w:r>
    </w:p>
    <w:p w:rsidR="00622457" w:rsidRDefault="00622457" w:rsidP="00622457">
      <w:pPr>
        <w:tabs>
          <w:tab w:val="num" w:pos="540"/>
        </w:tabs>
        <w:spacing w:after="0"/>
      </w:pPr>
      <w:r>
        <w:t xml:space="preserve">KOŽÍŠEK, František. </w:t>
      </w:r>
      <w:r>
        <w:rPr>
          <w:iCs/>
        </w:rPr>
        <w:t>Voda balená nebo z kohoutku?</w:t>
      </w:r>
      <w:r>
        <w:t xml:space="preserve"> In </w:t>
      </w:r>
      <w:r>
        <w:rPr>
          <w:i/>
          <w:iCs/>
        </w:rPr>
        <w:t>Výživa a potraviny</w:t>
      </w:r>
      <w:r>
        <w:t xml:space="preserve">, 2011, vol. 66, no. 1, </w:t>
      </w:r>
      <w:proofErr w:type="gramStart"/>
      <w:r>
        <w:t>p.11</w:t>
      </w:r>
      <w:proofErr w:type="gramEnd"/>
      <w:r>
        <w:t>-13. ISSN 1211-846X</w:t>
      </w:r>
    </w:p>
    <w:p w:rsidR="00622457" w:rsidRDefault="00622457" w:rsidP="00622457">
      <w:pPr>
        <w:spacing w:after="0"/>
      </w:pPr>
      <w:r>
        <w:t xml:space="preserve">KLIMEŠOVÁ, I., STELZER, J. </w:t>
      </w:r>
      <w:r>
        <w:rPr>
          <w:i/>
          <w:iCs/>
        </w:rPr>
        <w:t>Fyziologie výživy</w:t>
      </w:r>
      <w:r>
        <w:t>. Olomouc: UP, 2013, 178 s. ISBN 978-80-244-3280-9.</w:t>
      </w:r>
    </w:p>
    <w:p w:rsidR="00622457" w:rsidRDefault="00622457" w:rsidP="00622457">
      <w:pPr>
        <w:tabs>
          <w:tab w:val="num" w:pos="540"/>
        </w:tabs>
        <w:spacing w:after="0"/>
        <w:jc w:val="both"/>
      </w:pPr>
      <w:r>
        <w:rPr>
          <w:caps/>
        </w:rPr>
        <w:t>Krch</w:t>
      </w:r>
      <w:r>
        <w:t xml:space="preserve">, František David. </w:t>
      </w:r>
      <w:r>
        <w:rPr>
          <w:i/>
          <w:iCs/>
        </w:rPr>
        <w:t>Mentální anorexie</w:t>
      </w:r>
      <w:r>
        <w:t xml:space="preserve">. 2., </w:t>
      </w:r>
      <w:proofErr w:type="spellStart"/>
      <w:r>
        <w:t>p</w:t>
      </w:r>
      <w:r>
        <w:rPr>
          <w:rFonts w:hint="eastAsia"/>
        </w:rPr>
        <w:t>ř</w:t>
      </w:r>
      <w:r>
        <w:t>eprac</w:t>
      </w:r>
      <w:proofErr w:type="spellEnd"/>
      <w:r>
        <w:t>. vyd. Praha: Portál, 2010. 259 s. ISBN 978-80-7367-807-4.</w:t>
      </w:r>
    </w:p>
    <w:p w:rsidR="00622457" w:rsidRDefault="00622457" w:rsidP="00622457">
      <w:pPr>
        <w:tabs>
          <w:tab w:val="num" w:pos="540"/>
        </w:tabs>
        <w:spacing w:after="0"/>
        <w:jc w:val="both"/>
      </w:pPr>
      <w:r>
        <w:rPr>
          <w:caps/>
        </w:rPr>
        <w:t>Krch</w:t>
      </w:r>
      <w:r>
        <w:t xml:space="preserve">, František David. </w:t>
      </w:r>
      <w:r>
        <w:rPr>
          <w:i/>
          <w:iCs/>
        </w:rPr>
        <w:t>Bulimie: jak bojovat s p</w:t>
      </w:r>
      <w:r>
        <w:rPr>
          <w:rFonts w:hint="eastAsia"/>
          <w:i/>
          <w:iCs/>
        </w:rPr>
        <w:t>ř</w:t>
      </w:r>
      <w:r>
        <w:rPr>
          <w:i/>
          <w:iCs/>
        </w:rPr>
        <w:t>ejídáním</w:t>
      </w:r>
      <w:r>
        <w:t xml:space="preserve">. 3., dopl. a </w:t>
      </w:r>
      <w:proofErr w:type="spellStart"/>
      <w:r>
        <w:t>p</w:t>
      </w:r>
      <w:r>
        <w:rPr>
          <w:rFonts w:hint="eastAsia"/>
        </w:rPr>
        <w:t>ř</w:t>
      </w:r>
      <w:r>
        <w:t>eprac</w:t>
      </w:r>
      <w:proofErr w:type="spellEnd"/>
      <w:r>
        <w:t xml:space="preserve">. vyd. Praha: </w:t>
      </w:r>
      <w:proofErr w:type="spellStart"/>
      <w:r>
        <w:t>Grada</w:t>
      </w:r>
      <w:proofErr w:type="spellEnd"/>
      <w:r>
        <w:t>, 2008. 195 s. Psychologie pro každého. ISBN 978-80-247-2130-9.</w:t>
      </w:r>
    </w:p>
    <w:p w:rsidR="00622457" w:rsidRDefault="00622457" w:rsidP="00622457">
      <w:pPr>
        <w:tabs>
          <w:tab w:val="num" w:pos="540"/>
        </w:tabs>
        <w:spacing w:after="0"/>
        <w:jc w:val="both"/>
      </w:pPr>
      <w:r>
        <w:rPr>
          <w:caps/>
        </w:rPr>
        <w:t>Krch</w:t>
      </w:r>
      <w:r>
        <w:t xml:space="preserve">, František David a kol. </w:t>
      </w:r>
      <w:r>
        <w:rPr>
          <w:i/>
          <w:iCs/>
        </w:rPr>
        <w:t>Poruchy p</w:t>
      </w:r>
      <w:r>
        <w:rPr>
          <w:rFonts w:hint="eastAsia"/>
          <w:i/>
          <w:iCs/>
        </w:rPr>
        <w:t>ří</w:t>
      </w:r>
      <w:r>
        <w:rPr>
          <w:i/>
          <w:iCs/>
        </w:rPr>
        <w:t>jmu potravy</w:t>
      </w:r>
      <w:r>
        <w:t xml:space="preserve">. 2., </w:t>
      </w:r>
      <w:proofErr w:type="spellStart"/>
      <w:r>
        <w:t>aktualiz</w:t>
      </w:r>
      <w:proofErr w:type="spellEnd"/>
      <w:r>
        <w:t xml:space="preserve">. a dopl. vyd. Praha: </w:t>
      </w:r>
      <w:proofErr w:type="spellStart"/>
      <w:r>
        <w:t>Grada</w:t>
      </w:r>
      <w:proofErr w:type="spellEnd"/>
      <w:r>
        <w:t>, 2005. 255 s. Psyché. ISBN 80-247-0840-X.</w:t>
      </w:r>
    </w:p>
    <w:p w:rsidR="00622457" w:rsidRDefault="00622457" w:rsidP="00622457">
      <w:pPr>
        <w:tabs>
          <w:tab w:val="num" w:pos="540"/>
        </w:tabs>
        <w:spacing w:after="0"/>
      </w:pPr>
      <w:r>
        <w:rPr>
          <w:caps/>
        </w:rPr>
        <w:t>Kunová</w:t>
      </w:r>
      <w:r>
        <w:t xml:space="preserve">, Václava. </w:t>
      </w:r>
      <w:r>
        <w:rPr>
          <w:i/>
          <w:iCs/>
        </w:rPr>
        <w:t>Zdravá výživa</w:t>
      </w:r>
      <w:r>
        <w:t xml:space="preserve">. 2., </w:t>
      </w:r>
      <w:proofErr w:type="spellStart"/>
      <w:r>
        <w:t>p</w:t>
      </w:r>
      <w:r>
        <w:rPr>
          <w:rFonts w:hint="eastAsia"/>
        </w:rPr>
        <w:t>ř</w:t>
      </w:r>
      <w:r>
        <w:t>eprac</w:t>
      </w:r>
      <w:proofErr w:type="spellEnd"/>
      <w:r>
        <w:t xml:space="preserve">. vyd. Praha: </w:t>
      </w:r>
      <w:proofErr w:type="spellStart"/>
      <w:r>
        <w:t>Grada</w:t>
      </w:r>
      <w:proofErr w:type="spellEnd"/>
      <w:r>
        <w:t>, 2011. 140 s. Zdraví &amp; životní styl. ISBN 978-80-247-3433-0.</w:t>
      </w:r>
    </w:p>
    <w:p w:rsidR="007977F9" w:rsidRPr="007977F9" w:rsidRDefault="00D75784" w:rsidP="007977F9">
      <w:pPr>
        <w:spacing w:after="0" w:line="240" w:lineRule="auto"/>
        <w:jc w:val="both"/>
        <w:rPr>
          <w:rFonts w:cs="Arial"/>
        </w:rPr>
      </w:pPr>
      <w:r w:rsidRPr="007977F9">
        <w:rPr>
          <w:rFonts w:cs="Arial"/>
        </w:rPr>
        <w:t>MACHOVÁ</w:t>
      </w:r>
      <w:r w:rsidR="007977F9" w:rsidRPr="007977F9">
        <w:rPr>
          <w:rFonts w:cs="Arial"/>
        </w:rPr>
        <w:t>, Jitka a kol. </w:t>
      </w:r>
      <w:r w:rsidR="007977F9" w:rsidRPr="007977F9">
        <w:rPr>
          <w:rFonts w:cs="Arial"/>
          <w:i/>
          <w:iCs/>
        </w:rPr>
        <w:t>Výchova ke zdraví</w:t>
      </w:r>
      <w:r w:rsidR="007977F9" w:rsidRPr="007977F9">
        <w:rPr>
          <w:rFonts w:cs="Arial"/>
        </w:rPr>
        <w:t xml:space="preserve">. Vyd. 1. Praha: </w:t>
      </w:r>
      <w:proofErr w:type="spellStart"/>
      <w:r w:rsidR="007977F9" w:rsidRPr="007977F9">
        <w:rPr>
          <w:rFonts w:cs="Arial"/>
        </w:rPr>
        <w:t>Grada</w:t>
      </w:r>
      <w:proofErr w:type="spellEnd"/>
      <w:r w:rsidR="007977F9" w:rsidRPr="007977F9">
        <w:rPr>
          <w:rFonts w:cs="Arial"/>
        </w:rPr>
        <w:t xml:space="preserve">, 2009. 291 s. Pedagogika. ISBN 978-80-247-2715-8. </w:t>
      </w:r>
    </w:p>
    <w:p w:rsidR="007977F9" w:rsidRDefault="00D75784" w:rsidP="00D75784">
      <w:pPr>
        <w:spacing w:after="0" w:line="240" w:lineRule="auto"/>
        <w:jc w:val="both"/>
      </w:pPr>
      <w:r w:rsidRPr="007977F9">
        <w:rPr>
          <w:rFonts w:cs="Arial"/>
        </w:rPr>
        <w:t>MARÁDOVÁ</w:t>
      </w:r>
      <w:r w:rsidR="007977F9" w:rsidRPr="007977F9">
        <w:rPr>
          <w:rFonts w:cs="Arial"/>
        </w:rPr>
        <w:t xml:space="preserve">, Eva. 2006.  </w:t>
      </w:r>
      <w:r w:rsidR="007977F9" w:rsidRPr="007977F9">
        <w:rPr>
          <w:rFonts w:cs="Arial"/>
          <w:i/>
        </w:rPr>
        <w:t xml:space="preserve">Metodická příručka, Výchova ke zdraví </w:t>
      </w:r>
      <w:proofErr w:type="gramStart"/>
      <w:r w:rsidR="007977F9" w:rsidRPr="007977F9">
        <w:rPr>
          <w:rFonts w:cs="Arial"/>
          <w:i/>
        </w:rPr>
        <w:t>pro 6.-9. ročník</w:t>
      </w:r>
      <w:proofErr w:type="gramEnd"/>
      <w:r w:rsidR="007977F9" w:rsidRPr="007977F9">
        <w:rPr>
          <w:rFonts w:cs="Arial"/>
          <w:i/>
        </w:rPr>
        <w:t xml:space="preserve"> základní školy.</w:t>
      </w:r>
      <w:r w:rsidR="007977F9" w:rsidRPr="007977F9">
        <w:rPr>
          <w:rFonts w:cs="Arial"/>
        </w:rPr>
        <w:t xml:space="preserve"> Praha: Fortuna, 48 s. ISBN 80-7168-973-4.</w:t>
      </w:r>
    </w:p>
    <w:p w:rsidR="00622457" w:rsidRDefault="00622457" w:rsidP="00D75784">
      <w:pPr>
        <w:tabs>
          <w:tab w:val="num" w:pos="540"/>
        </w:tabs>
        <w:spacing w:after="0"/>
      </w:pPr>
      <w:r>
        <w:rPr>
          <w:caps/>
        </w:rPr>
        <w:t>Müllerová</w:t>
      </w:r>
      <w:r>
        <w:t xml:space="preserve">, Dana. </w:t>
      </w:r>
      <w:r>
        <w:rPr>
          <w:i/>
          <w:iCs/>
        </w:rPr>
        <w:t>Zdravá výživa a prevence civiliza</w:t>
      </w:r>
      <w:r>
        <w:rPr>
          <w:rFonts w:hint="eastAsia"/>
          <w:i/>
          <w:iCs/>
        </w:rPr>
        <w:t>č</w:t>
      </w:r>
      <w:r>
        <w:rPr>
          <w:i/>
          <w:iCs/>
        </w:rPr>
        <w:t>ních nemocí ve schématech</w:t>
      </w:r>
      <w:r>
        <w:t>. Vyd. 1. V Praze: Triton, 2003. 99 s. ISBN 80-7254-421-7.</w:t>
      </w:r>
    </w:p>
    <w:p w:rsidR="001874C5" w:rsidRDefault="001874C5" w:rsidP="00D75784">
      <w:pPr>
        <w:spacing w:after="0" w:line="240" w:lineRule="auto"/>
        <w:jc w:val="both"/>
        <w:rPr>
          <w:rFonts w:eastAsia="Cambria,Italic"/>
        </w:rPr>
      </w:pPr>
      <w:r w:rsidRPr="00694503">
        <w:rPr>
          <w:i/>
        </w:rPr>
        <w:t xml:space="preserve">Národní strategie primární prevence rizikového chování dětí a mládeže na období 2013 – 2018. </w:t>
      </w:r>
      <w:r>
        <w:rPr>
          <w:i/>
        </w:rPr>
        <w:t xml:space="preserve">    </w:t>
      </w:r>
      <w:r w:rsidRPr="00B61B74">
        <w:t xml:space="preserve">Dostupné online na </w:t>
      </w:r>
      <w:hyperlink r:id="rId14" w:history="1">
        <w:r w:rsidRPr="001874C5">
          <w:rPr>
            <w:rStyle w:val="Hypertextovodkaz"/>
            <w:color w:val="auto"/>
            <w:u w:val="none"/>
          </w:rPr>
          <w:t>http://www.msmt.cz/file/28077</w:t>
        </w:r>
      </w:hyperlink>
      <w:r w:rsidRPr="001874C5">
        <w:t xml:space="preserve"> </w:t>
      </w:r>
      <w:r w:rsidRPr="00694503">
        <w:rPr>
          <w:rFonts w:eastAsia="Cambria,Italic"/>
        </w:rPr>
        <w:t>[cit. 2014-05-10]</w:t>
      </w:r>
      <w:r>
        <w:rPr>
          <w:rFonts w:eastAsia="Cambria,Italic"/>
        </w:rPr>
        <w:t>.</w:t>
      </w:r>
    </w:p>
    <w:p w:rsidR="001874C5" w:rsidRDefault="001874C5" w:rsidP="00D75784">
      <w:pPr>
        <w:autoSpaceDE w:val="0"/>
        <w:autoSpaceDN w:val="0"/>
        <w:adjustRightInd w:val="0"/>
        <w:spacing w:after="0"/>
        <w:rPr>
          <w:rFonts w:eastAsia="MyriadPro-Regular" w:cs="MyriadPro-Regular"/>
        </w:rPr>
      </w:pPr>
      <w:r w:rsidRPr="00770B46">
        <w:rPr>
          <w:rFonts w:eastAsia="MyriadPro-Regular" w:cs="MyriadPro-Regular"/>
        </w:rPr>
        <w:t>NEŠPOR, K</w:t>
      </w:r>
      <w:r>
        <w:rPr>
          <w:rFonts w:eastAsia="MyriadPro-Regular" w:cs="MyriadPro-Regular"/>
        </w:rPr>
        <w:t>arel</w:t>
      </w:r>
      <w:r w:rsidRPr="00770B46">
        <w:rPr>
          <w:rFonts w:eastAsia="MyriadPro-Regular" w:cs="MyriadPro-Regular"/>
        </w:rPr>
        <w:t xml:space="preserve">. </w:t>
      </w:r>
      <w:r w:rsidRPr="00770B46">
        <w:rPr>
          <w:rFonts w:eastAsia="MyriadPro-It" w:cs="MyriadPro-It"/>
          <w:i/>
          <w:iCs/>
        </w:rPr>
        <w:t>Jak př</w:t>
      </w:r>
      <w:r>
        <w:rPr>
          <w:rFonts w:eastAsia="MyriadPro-It" w:cs="MyriadPro-It"/>
          <w:i/>
          <w:iCs/>
        </w:rPr>
        <w:t>edchá</w:t>
      </w:r>
      <w:r w:rsidRPr="00770B46">
        <w:rPr>
          <w:rFonts w:eastAsia="MyriadPro-It" w:cs="MyriadPro-It"/>
          <w:i/>
          <w:iCs/>
        </w:rPr>
        <w:t>zet probl</w:t>
      </w:r>
      <w:r>
        <w:rPr>
          <w:rFonts w:eastAsia="MyriadPro-It" w:cs="MyriadPro-It"/>
          <w:i/>
          <w:iCs/>
        </w:rPr>
        <w:t>é</w:t>
      </w:r>
      <w:r w:rsidRPr="00770B46">
        <w:rPr>
          <w:rFonts w:eastAsia="MyriadPro-It" w:cs="MyriadPro-It"/>
          <w:i/>
          <w:iCs/>
        </w:rPr>
        <w:t>mů</w:t>
      </w:r>
      <w:r>
        <w:rPr>
          <w:rFonts w:eastAsia="MyriadPro-It" w:cs="MyriadPro-It"/>
          <w:i/>
          <w:iCs/>
        </w:rPr>
        <w:t>m s návykový</w:t>
      </w:r>
      <w:r w:rsidRPr="00770B46">
        <w:rPr>
          <w:rFonts w:eastAsia="MyriadPro-It" w:cs="MyriadPro-It"/>
          <w:i/>
          <w:iCs/>
        </w:rPr>
        <w:t>mi l</w:t>
      </w:r>
      <w:r>
        <w:rPr>
          <w:rFonts w:eastAsia="MyriadPro-It" w:cs="MyriadPro-It"/>
          <w:i/>
          <w:iCs/>
        </w:rPr>
        <w:t>átkami na základní</w:t>
      </w:r>
      <w:r w:rsidRPr="00770B46">
        <w:rPr>
          <w:rFonts w:eastAsia="MyriadPro-It" w:cs="MyriadPro-It"/>
          <w:i/>
          <w:iCs/>
        </w:rPr>
        <w:t>ch a na</w:t>
      </w:r>
      <w:r>
        <w:rPr>
          <w:rFonts w:eastAsia="MyriadPro-It" w:cs="MyriadPro-It"/>
          <w:i/>
          <w:iCs/>
        </w:rPr>
        <w:t xml:space="preserve"> </w:t>
      </w:r>
      <w:r w:rsidRPr="00770B46">
        <w:rPr>
          <w:rFonts w:eastAsia="MyriadPro-It" w:cs="MyriadPro-It"/>
          <w:i/>
          <w:iCs/>
        </w:rPr>
        <w:t>stř</w:t>
      </w:r>
      <w:r>
        <w:rPr>
          <w:rFonts w:eastAsia="MyriadPro-It" w:cs="MyriadPro-It"/>
          <w:i/>
          <w:iCs/>
        </w:rPr>
        <w:t>ední</w:t>
      </w:r>
      <w:r w:rsidRPr="00770B46">
        <w:rPr>
          <w:rFonts w:eastAsia="MyriadPro-It" w:cs="MyriadPro-It"/>
          <w:i/>
          <w:iCs/>
        </w:rPr>
        <w:t xml:space="preserve">ch </w:t>
      </w:r>
      <w:r>
        <w:rPr>
          <w:rFonts w:eastAsia="MyriadPro-It" w:cs="MyriadPro-It"/>
          <w:i/>
          <w:iCs/>
        </w:rPr>
        <w:t>školá</w:t>
      </w:r>
      <w:r w:rsidRPr="00770B46">
        <w:rPr>
          <w:rFonts w:eastAsia="MyriadPro-It" w:cs="MyriadPro-It"/>
          <w:i/>
          <w:iCs/>
        </w:rPr>
        <w:t>ch: př</w:t>
      </w:r>
      <w:r>
        <w:rPr>
          <w:rFonts w:eastAsia="MyriadPro-It" w:cs="MyriadPro-It"/>
          <w:i/>
          <w:iCs/>
        </w:rPr>
        <w:t>í</w:t>
      </w:r>
      <w:r w:rsidRPr="00770B46">
        <w:rPr>
          <w:rFonts w:eastAsia="MyriadPro-It" w:cs="MyriadPro-It"/>
          <w:i/>
          <w:iCs/>
        </w:rPr>
        <w:t>ručka pro pedagogy</w:t>
      </w:r>
      <w:r w:rsidRPr="00770B46">
        <w:rPr>
          <w:rFonts w:eastAsia="MyriadPro-Regular" w:cs="MyriadPro-Regular"/>
        </w:rPr>
        <w:t xml:space="preserve">. Praha: </w:t>
      </w:r>
      <w:proofErr w:type="spellStart"/>
      <w:r>
        <w:rPr>
          <w:rFonts w:eastAsia="MyriadPro-Regular" w:cs="MyriadPro-Regular"/>
        </w:rPr>
        <w:t>Sportpropag</w:t>
      </w:r>
      <w:proofErr w:type="spellEnd"/>
      <w:r>
        <w:rPr>
          <w:rFonts w:eastAsia="MyriadPro-Regular" w:cs="MyriadPro-Regular"/>
        </w:rPr>
        <w:t>, 1996. 156 s. Bez ISBN.</w:t>
      </w:r>
    </w:p>
    <w:p w:rsidR="001874C5" w:rsidRPr="00770B46" w:rsidRDefault="001874C5" w:rsidP="00D75784">
      <w:pPr>
        <w:autoSpaceDE w:val="0"/>
        <w:autoSpaceDN w:val="0"/>
        <w:adjustRightInd w:val="0"/>
        <w:spacing w:after="0"/>
        <w:rPr>
          <w:rFonts w:eastAsia="MyriadPro-Regular" w:cs="MyriadPro-Regular"/>
        </w:rPr>
      </w:pPr>
      <w:r w:rsidRPr="00770B46">
        <w:rPr>
          <w:rFonts w:eastAsia="MyriadPro-Regular" w:cs="MyriadPro-Regular"/>
        </w:rPr>
        <w:lastRenderedPageBreak/>
        <w:t>NEŠ</w:t>
      </w:r>
      <w:r>
        <w:rPr>
          <w:rFonts w:eastAsia="MyriadPro-Regular" w:cs="MyriadPro-Regular"/>
        </w:rPr>
        <w:t>POR, Karel.</w:t>
      </w:r>
      <w:r w:rsidRPr="00770B46">
        <w:rPr>
          <w:rFonts w:eastAsia="MyriadPro-Regular" w:cs="MyriadPro-Regular"/>
        </w:rPr>
        <w:t xml:space="preserve"> </w:t>
      </w:r>
      <w:r>
        <w:rPr>
          <w:rFonts w:eastAsia="MyriadPro-It" w:cs="MyriadPro-It"/>
          <w:i/>
          <w:iCs/>
        </w:rPr>
        <w:t>Lé</w:t>
      </w:r>
      <w:r w:rsidRPr="00770B46">
        <w:rPr>
          <w:rFonts w:eastAsia="MyriadPro-It" w:cs="MyriadPro-It"/>
          <w:i/>
          <w:iCs/>
        </w:rPr>
        <w:t>č</w:t>
      </w:r>
      <w:r>
        <w:rPr>
          <w:rFonts w:eastAsia="MyriadPro-It" w:cs="MyriadPro-It"/>
          <w:i/>
          <w:iCs/>
        </w:rPr>
        <w:t>ba a prevence zá</w:t>
      </w:r>
      <w:r w:rsidRPr="00770B46">
        <w:rPr>
          <w:rFonts w:eastAsia="MyriadPro-It" w:cs="MyriadPro-It"/>
          <w:i/>
          <w:iCs/>
        </w:rPr>
        <w:t>vislosti: př</w:t>
      </w:r>
      <w:r>
        <w:rPr>
          <w:rFonts w:eastAsia="MyriadPro-It" w:cs="MyriadPro-It"/>
          <w:i/>
          <w:iCs/>
        </w:rPr>
        <w:t>í</w:t>
      </w:r>
      <w:r w:rsidRPr="00770B46">
        <w:rPr>
          <w:rFonts w:eastAsia="MyriadPro-It" w:cs="MyriadPro-It"/>
          <w:i/>
          <w:iCs/>
        </w:rPr>
        <w:t>ručka pro praxi</w:t>
      </w:r>
      <w:r>
        <w:rPr>
          <w:rFonts w:eastAsia="MyriadPro-Regular" w:cs="MyriadPro-Regular"/>
        </w:rPr>
        <w:t xml:space="preserve">. 1. vyd. Praha: Psychiatrické </w:t>
      </w:r>
      <w:r w:rsidRPr="00770B46">
        <w:rPr>
          <w:rFonts w:eastAsia="MyriadPro-Regular" w:cs="MyriadPro-Regular"/>
        </w:rPr>
        <w:t>centrum, 1996. 199 s. ISBN 80-85121-52-2.</w:t>
      </w:r>
    </w:p>
    <w:p w:rsidR="001874C5" w:rsidRDefault="001874C5" w:rsidP="00D75784">
      <w:pPr>
        <w:autoSpaceDE w:val="0"/>
        <w:autoSpaceDN w:val="0"/>
        <w:adjustRightInd w:val="0"/>
        <w:spacing w:after="0"/>
      </w:pPr>
      <w:r w:rsidRPr="00770B46">
        <w:rPr>
          <w:rFonts w:eastAsia="MyriadPro-Regular" w:cs="MyriadPro-Regular"/>
        </w:rPr>
        <w:t>NEŠPOR, K</w:t>
      </w:r>
      <w:r>
        <w:rPr>
          <w:rFonts w:eastAsia="MyriadPro-Regular" w:cs="MyriadPro-Regular"/>
        </w:rPr>
        <w:t>arel</w:t>
      </w:r>
      <w:r w:rsidRPr="00770B46">
        <w:rPr>
          <w:rFonts w:eastAsia="MyriadPro-Regular" w:cs="MyriadPro-Regular"/>
        </w:rPr>
        <w:t xml:space="preserve">. </w:t>
      </w:r>
      <w:r>
        <w:rPr>
          <w:rFonts w:eastAsia="MyriadPro-It" w:cs="MyriadPro-It"/>
          <w:i/>
          <w:iCs/>
        </w:rPr>
        <w:t>Ná</w:t>
      </w:r>
      <w:r w:rsidRPr="00770B46">
        <w:rPr>
          <w:rFonts w:eastAsia="MyriadPro-It" w:cs="MyriadPro-It"/>
          <w:i/>
          <w:iCs/>
        </w:rPr>
        <w:t>vykov</w:t>
      </w:r>
      <w:r>
        <w:rPr>
          <w:rFonts w:eastAsia="MyriadPro-It" w:cs="MyriadPro-It"/>
          <w:i/>
          <w:iCs/>
        </w:rPr>
        <w:t>é chování a zá</w:t>
      </w:r>
      <w:r w:rsidRPr="00770B46">
        <w:rPr>
          <w:rFonts w:eastAsia="MyriadPro-It" w:cs="MyriadPro-It"/>
          <w:i/>
          <w:iCs/>
        </w:rPr>
        <w:t>vislost</w:t>
      </w:r>
      <w:r w:rsidRPr="00770B46">
        <w:rPr>
          <w:rFonts w:eastAsia="MyriadPro-Regular" w:cs="MyriadPro-Regular"/>
        </w:rPr>
        <w:t>.</w:t>
      </w:r>
      <w:r>
        <w:rPr>
          <w:rFonts w:eastAsia="MyriadPro-Regular" w:cs="MyriadPro-Regular"/>
        </w:rPr>
        <w:t xml:space="preserve"> 3., </w:t>
      </w:r>
      <w:proofErr w:type="spellStart"/>
      <w:r>
        <w:rPr>
          <w:rFonts w:eastAsia="MyriadPro-Regular" w:cs="MyriadPro-Regular"/>
        </w:rPr>
        <w:t>aktualiz</w:t>
      </w:r>
      <w:proofErr w:type="spellEnd"/>
      <w:r>
        <w:rPr>
          <w:rFonts w:eastAsia="MyriadPro-Regular" w:cs="MyriadPro-Regular"/>
        </w:rPr>
        <w:t>. vyd. Praha: Portá</w:t>
      </w:r>
      <w:r w:rsidRPr="00770B46">
        <w:rPr>
          <w:rFonts w:eastAsia="MyriadPro-Regular" w:cs="MyriadPro-Regular"/>
        </w:rPr>
        <w:t>l, 2007.</w:t>
      </w:r>
      <w:r>
        <w:rPr>
          <w:rFonts w:eastAsia="MyriadPro-Regular" w:cs="MyriadPro-Regular"/>
        </w:rPr>
        <w:t xml:space="preserve"> </w:t>
      </w:r>
      <w:r w:rsidRPr="00770B46">
        <w:rPr>
          <w:rFonts w:eastAsia="MyriadPro-Regular" w:cs="MyriadPro-Regular"/>
        </w:rPr>
        <w:t>170 s. ISBN 978-80-7367-267-6.</w:t>
      </w:r>
    </w:p>
    <w:p w:rsidR="00622457" w:rsidRDefault="00622457" w:rsidP="00D75784">
      <w:pPr>
        <w:tabs>
          <w:tab w:val="num" w:pos="540"/>
        </w:tabs>
        <w:spacing w:after="0"/>
      </w:pPr>
      <w:r>
        <w:rPr>
          <w:caps/>
        </w:rPr>
        <w:t>Nevoral</w:t>
      </w:r>
      <w:r>
        <w:t>, Ji</w:t>
      </w:r>
      <w:r>
        <w:rPr>
          <w:rFonts w:hint="eastAsia"/>
        </w:rPr>
        <w:t>ří</w:t>
      </w:r>
      <w:r>
        <w:t xml:space="preserve"> a kol. </w:t>
      </w:r>
      <w:r>
        <w:rPr>
          <w:i/>
          <w:iCs/>
        </w:rPr>
        <w:t>Výživa v d</w:t>
      </w:r>
      <w:r>
        <w:rPr>
          <w:rFonts w:hint="eastAsia"/>
          <w:i/>
          <w:iCs/>
        </w:rPr>
        <w:t>ě</w:t>
      </w:r>
      <w:r>
        <w:rPr>
          <w:i/>
          <w:iCs/>
        </w:rPr>
        <w:t>tském v</w:t>
      </w:r>
      <w:r>
        <w:rPr>
          <w:rFonts w:hint="eastAsia"/>
          <w:i/>
          <w:iCs/>
        </w:rPr>
        <w:t>ě</w:t>
      </w:r>
      <w:r>
        <w:rPr>
          <w:i/>
          <w:iCs/>
        </w:rPr>
        <w:t>ku</w:t>
      </w:r>
      <w:r>
        <w:t>. Vyd. 1. Jino</w:t>
      </w:r>
      <w:r>
        <w:rPr>
          <w:rFonts w:hint="eastAsia"/>
        </w:rPr>
        <w:t>č</w:t>
      </w:r>
      <w:r>
        <w:t xml:space="preserve">any: H &amp; H, 2003. 434 s. ISBN 80-86022-93-5. </w:t>
      </w:r>
    </w:p>
    <w:p w:rsidR="001874C5" w:rsidRDefault="001874C5" w:rsidP="00D75784">
      <w:pPr>
        <w:autoSpaceDE w:val="0"/>
        <w:autoSpaceDN w:val="0"/>
        <w:adjustRightInd w:val="0"/>
        <w:spacing w:after="0" w:line="240" w:lineRule="auto"/>
      </w:pPr>
      <w:r w:rsidRPr="00B61B74">
        <w:rPr>
          <w:rFonts w:eastAsia="Cambria,Italic"/>
          <w:i/>
          <w:iCs/>
        </w:rPr>
        <w:t xml:space="preserve">Rámcový vzdělávací program pro základní vzdělávání </w:t>
      </w:r>
      <w:r w:rsidRPr="00B61B74">
        <w:rPr>
          <w:rFonts w:eastAsia="Cambria,Italic"/>
        </w:rPr>
        <w:t xml:space="preserve">(verze platná od 1. 9. 2013). Dostupné </w:t>
      </w:r>
      <w:proofErr w:type="gramStart"/>
      <w:r w:rsidRPr="00B61B74">
        <w:rPr>
          <w:rFonts w:eastAsia="Cambria,Italic"/>
        </w:rPr>
        <w:t xml:space="preserve">online  </w:t>
      </w:r>
      <w:r>
        <w:rPr>
          <w:rFonts w:eastAsia="Cambria,Italic"/>
        </w:rPr>
        <w:t xml:space="preserve">  </w:t>
      </w:r>
      <w:r w:rsidRPr="00B61B74">
        <w:rPr>
          <w:rFonts w:eastAsia="Cambria,Italic"/>
        </w:rPr>
        <w:t>na</w:t>
      </w:r>
      <w:proofErr w:type="gramEnd"/>
      <w:r w:rsidRPr="00B61B74">
        <w:rPr>
          <w:rFonts w:eastAsia="Cambria,Italic"/>
        </w:rPr>
        <w:t xml:space="preserve"> http://www.nuv.cz/folder/32/display/ [cit. 28. 8. 201</w:t>
      </w:r>
      <w:r>
        <w:rPr>
          <w:rFonts w:eastAsia="Cambria,Italic"/>
        </w:rPr>
        <w:t>4</w:t>
      </w:r>
      <w:r w:rsidRPr="00B61B74">
        <w:rPr>
          <w:rFonts w:eastAsia="Cambria,Italic"/>
        </w:rPr>
        <w:t>]</w:t>
      </w:r>
      <w:r>
        <w:rPr>
          <w:rFonts w:eastAsia="Cambria,Italic"/>
        </w:rPr>
        <w:t>.</w:t>
      </w:r>
    </w:p>
    <w:p w:rsidR="00622457" w:rsidRDefault="00622457" w:rsidP="00D75784">
      <w:pPr>
        <w:tabs>
          <w:tab w:val="num" w:pos="540"/>
        </w:tabs>
        <w:spacing w:after="0"/>
        <w:jc w:val="both"/>
      </w:pPr>
      <w:r>
        <w:rPr>
          <w:caps/>
        </w:rPr>
        <w:t>Rucki</w:t>
      </w:r>
      <w:r>
        <w:t>, Št</w:t>
      </w:r>
      <w:r>
        <w:rPr>
          <w:rFonts w:hint="eastAsia"/>
        </w:rPr>
        <w:t>ě</w:t>
      </w:r>
      <w:r>
        <w:t xml:space="preserve">pán a </w:t>
      </w:r>
      <w:r>
        <w:rPr>
          <w:caps/>
        </w:rPr>
        <w:t>Stožický</w:t>
      </w:r>
      <w:r>
        <w:t xml:space="preserve">, František. </w:t>
      </w:r>
      <w:r>
        <w:rPr>
          <w:i/>
          <w:iCs/>
        </w:rPr>
        <w:t>Prevence nemocí ob</w:t>
      </w:r>
      <w:r>
        <w:rPr>
          <w:rFonts w:hint="eastAsia"/>
          <w:i/>
          <w:iCs/>
        </w:rPr>
        <w:t>ě</w:t>
      </w:r>
      <w:r>
        <w:rPr>
          <w:i/>
          <w:iCs/>
        </w:rPr>
        <w:t>hové soustavy v pediatrii</w:t>
      </w:r>
      <w:r>
        <w:t>. Praha: Triton, 2003. 195 s. ISBN 80-7254-388-1.</w:t>
      </w:r>
    </w:p>
    <w:p w:rsidR="00BC33D3" w:rsidRDefault="00BC33D3" w:rsidP="00BC33D3">
      <w:pPr>
        <w:spacing w:after="0"/>
        <w:jc w:val="both"/>
        <w:rPr>
          <w:rFonts w:eastAsia="Arial Unicode MS" w:cs="Arial Unicode MS"/>
        </w:rPr>
      </w:pPr>
      <w:r w:rsidRPr="00BC33D3">
        <w:rPr>
          <w:i/>
        </w:rPr>
        <w:t>Výživa a potraviny</w:t>
      </w:r>
      <w:r w:rsidRPr="00E610FE">
        <w:t xml:space="preserve">. </w:t>
      </w:r>
      <w:r w:rsidRPr="00E610FE">
        <w:rPr>
          <w:rFonts w:eastAsia="Arial Unicode MS" w:cs="Arial Unicode MS"/>
        </w:rPr>
        <w:t>ISSN 1211-846X.</w:t>
      </w:r>
    </w:p>
    <w:p w:rsidR="00622457" w:rsidRDefault="00622457" w:rsidP="00BC33D3">
      <w:pPr>
        <w:spacing w:after="0"/>
        <w:jc w:val="both"/>
      </w:pPr>
      <w:r>
        <w:rPr>
          <w:i/>
        </w:rPr>
        <w:t>Výživa ve výchově ke zdraví - výukový program pro pedagogy na 2. stupni ZŠ.</w:t>
      </w:r>
      <w:r w:rsidR="001874C5">
        <w:t xml:space="preserve"> Praha, 2010.</w:t>
      </w:r>
    </w:p>
    <w:p w:rsidR="00622457" w:rsidRDefault="00622457" w:rsidP="00BC33D3">
      <w:pPr>
        <w:tabs>
          <w:tab w:val="num" w:pos="540"/>
        </w:tabs>
        <w:spacing w:after="0"/>
      </w:pPr>
      <w:r>
        <w:rPr>
          <w:i/>
        </w:rPr>
        <w:t>Výživová doporučení pro obyvatelstvo České republiky</w:t>
      </w:r>
      <w:r>
        <w:t>. In Výživa a potraviny, 2012, vol. 67, no. 3, p. 80-82. ISSN 1211-846X</w:t>
      </w:r>
      <w:r w:rsidR="001874C5">
        <w:t>.</w:t>
      </w:r>
    </w:p>
    <w:p w:rsidR="00D75784" w:rsidRPr="00D75784" w:rsidRDefault="00D75784" w:rsidP="00D75784">
      <w:pPr>
        <w:spacing w:after="0" w:line="240" w:lineRule="auto"/>
        <w:jc w:val="both"/>
        <w:rPr>
          <w:rFonts w:cs="Arial"/>
        </w:rPr>
      </w:pPr>
      <w:r w:rsidRPr="00D75784">
        <w:rPr>
          <w:rFonts w:cs="Arial"/>
        </w:rPr>
        <w:t xml:space="preserve">WHO: Basic </w:t>
      </w:r>
      <w:proofErr w:type="spellStart"/>
      <w:r w:rsidRPr="00D75784">
        <w:rPr>
          <w:rFonts w:cs="Arial"/>
        </w:rPr>
        <w:t>Document</w:t>
      </w:r>
      <w:proofErr w:type="spellEnd"/>
      <w:r w:rsidRPr="00D75784">
        <w:rPr>
          <w:rFonts w:cs="Arial"/>
        </w:rPr>
        <w:t xml:space="preserve">, </w:t>
      </w:r>
      <w:proofErr w:type="spellStart"/>
      <w:r w:rsidRPr="00D75784">
        <w:rPr>
          <w:rFonts w:cs="Arial"/>
        </w:rPr>
        <w:t>Twenty</w:t>
      </w:r>
      <w:proofErr w:type="spellEnd"/>
      <w:r w:rsidRPr="00D75784">
        <w:rPr>
          <w:rFonts w:cs="Arial"/>
        </w:rPr>
        <w:t xml:space="preserve"> </w:t>
      </w:r>
      <w:proofErr w:type="spellStart"/>
      <w:r w:rsidRPr="00D75784">
        <w:rPr>
          <w:rFonts w:cs="Arial"/>
        </w:rPr>
        <w:t>four</w:t>
      </w:r>
      <w:proofErr w:type="spellEnd"/>
      <w:r w:rsidRPr="00D75784">
        <w:rPr>
          <w:rFonts w:cs="Arial"/>
        </w:rPr>
        <w:t xml:space="preserve"> </w:t>
      </w:r>
      <w:proofErr w:type="spellStart"/>
      <w:r w:rsidRPr="00D75784">
        <w:rPr>
          <w:rFonts w:cs="Arial"/>
        </w:rPr>
        <w:t>Edition</w:t>
      </w:r>
      <w:proofErr w:type="spellEnd"/>
      <w:r w:rsidRPr="00D75784">
        <w:rPr>
          <w:rFonts w:cs="Arial"/>
        </w:rPr>
        <w:t xml:space="preserve">. </w:t>
      </w:r>
      <w:proofErr w:type="spellStart"/>
      <w:r w:rsidRPr="00D75784">
        <w:rPr>
          <w:rFonts w:cs="Arial"/>
        </w:rPr>
        <w:t>Geneva</w:t>
      </w:r>
      <w:proofErr w:type="spellEnd"/>
      <w:r w:rsidRPr="00D75784">
        <w:rPr>
          <w:rFonts w:cs="Arial"/>
        </w:rPr>
        <w:t>, WHO, 1974, 164 s.</w:t>
      </w:r>
    </w:p>
    <w:p w:rsidR="00D75784" w:rsidRDefault="00D75784" w:rsidP="00D75784">
      <w:pPr>
        <w:spacing w:after="0"/>
        <w:jc w:val="both"/>
      </w:pPr>
      <w:r w:rsidRPr="00D75784">
        <w:rPr>
          <w:i/>
          <w:iCs/>
        </w:rPr>
        <w:t>Z</w:t>
      </w:r>
      <w:r w:rsidR="00622457" w:rsidRPr="00D75784">
        <w:rPr>
          <w:i/>
          <w:iCs/>
        </w:rPr>
        <w:t>draví 2020: osnova evropské zdravotní politiky pro 21. století</w:t>
      </w:r>
      <w:r w:rsidR="00622457" w:rsidRPr="00D75784">
        <w:t>. 1. vyd. Praha: Ministerstvo zdravotnictví České republiky ve spolupráci se Státním zdravotním ústavem, ©2014. 182 s. ISBN 978-80-85047-48-6.</w:t>
      </w:r>
    </w:p>
    <w:p w:rsidR="00622457" w:rsidRDefault="00D75784" w:rsidP="00D75784">
      <w:pPr>
        <w:spacing w:after="0"/>
        <w:jc w:val="both"/>
        <w:rPr>
          <w:rFonts w:cs="Arial"/>
          <w:lang w:val="en-US"/>
        </w:rPr>
      </w:pPr>
      <w:proofErr w:type="gramStart"/>
      <w:r>
        <w:rPr>
          <w:rFonts w:cs="Arial"/>
          <w:lang w:val="en-US"/>
        </w:rPr>
        <w:t>Ž</w:t>
      </w:r>
      <w:r w:rsidRPr="00D75784">
        <w:rPr>
          <w:rFonts w:cs="Arial"/>
          <w:lang w:val="en-US"/>
        </w:rPr>
        <w:t>ÁČEK</w:t>
      </w:r>
      <w:r w:rsidRPr="00D75784">
        <w:rPr>
          <w:rFonts w:cs="Arial"/>
        </w:rPr>
        <w:t xml:space="preserve">, </w:t>
      </w:r>
      <w:r w:rsidRPr="00D75784">
        <w:rPr>
          <w:rFonts w:cs="Arial"/>
          <w:lang w:val="en-US"/>
        </w:rPr>
        <w:t>A</w:t>
      </w:r>
      <w:proofErr w:type="spellStart"/>
      <w:r w:rsidRPr="00D75784">
        <w:rPr>
          <w:rFonts w:cs="Arial"/>
        </w:rPr>
        <w:t>dolf</w:t>
      </w:r>
      <w:proofErr w:type="spellEnd"/>
      <w:r w:rsidRPr="00D75784">
        <w:rPr>
          <w:rFonts w:cs="Arial"/>
        </w:rPr>
        <w:t>.</w:t>
      </w:r>
      <w:proofErr w:type="gramEnd"/>
      <w:r w:rsidRPr="00D75784">
        <w:rPr>
          <w:rFonts w:cs="Arial"/>
        </w:rPr>
        <w:t xml:space="preserve"> </w:t>
      </w:r>
      <w:r w:rsidRPr="00D75784">
        <w:rPr>
          <w:rFonts w:cs="Arial"/>
          <w:lang w:val="en-US"/>
        </w:rPr>
        <w:t xml:space="preserve"> </w:t>
      </w:r>
      <w:proofErr w:type="spellStart"/>
      <w:proofErr w:type="gramStart"/>
      <w:r w:rsidRPr="00D75784">
        <w:rPr>
          <w:rFonts w:cs="Arial"/>
          <w:lang w:val="en-US"/>
        </w:rPr>
        <w:t>Nalezne</w:t>
      </w:r>
      <w:proofErr w:type="spellEnd"/>
      <w:r w:rsidRPr="00D75784">
        <w:rPr>
          <w:rFonts w:cs="Arial"/>
          <w:lang w:val="en-US"/>
        </w:rPr>
        <w:t xml:space="preserve"> </w:t>
      </w:r>
      <w:proofErr w:type="spellStart"/>
      <w:r w:rsidRPr="00D75784">
        <w:rPr>
          <w:rFonts w:cs="Arial"/>
          <w:lang w:val="en-US"/>
        </w:rPr>
        <w:t>lékařství</w:t>
      </w:r>
      <w:proofErr w:type="spellEnd"/>
      <w:r w:rsidRPr="00D75784">
        <w:rPr>
          <w:rFonts w:cs="Arial"/>
          <w:lang w:val="en-US"/>
        </w:rPr>
        <w:t xml:space="preserve"> v </w:t>
      </w:r>
      <w:proofErr w:type="spellStart"/>
      <w:r w:rsidRPr="00D75784">
        <w:rPr>
          <w:rFonts w:cs="Arial"/>
          <w:lang w:val="en-US"/>
        </w:rPr>
        <w:t>novém</w:t>
      </w:r>
      <w:proofErr w:type="spellEnd"/>
      <w:r w:rsidRPr="00D75784">
        <w:rPr>
          <w:rFonts w:cs="Arial"/>
          <w:lang w:val="en-US"/>
        </w:rPr>
        <w:t xml:space="preserve"> </w:t>
      </w:r>
      <w:proofErr w:type="spellStart"/>
      <w:r w:rsidRPr="00D75784">
        <w:rPr>
          <w:rFonts w:cs="Arial"/>
          <w:lang w:val="en-US"/>
        </w:rPr>
        <w:t>století</w:t>
      </w:r>
      <w:proofErr w:type="spellEnd"/>
      <w:r w:rsidRPr="00D75784">
        <w:rPr>
          <w:rFonts w:cs="Arial"/>
          <w:lang w:val="en-US"/>
        </w:rPr>
        <w:t xml:space="preserve"> </w:t>
      </w:r>
      <w:proofErr w:type="spellStart"/>
      <w:r w:rsidRPr="00D75784">
        <w:rPr>
          <w:rFonts w:cs="Arial"/>
          <w:lang w:val="en-US"/>
        </w:rPr>
        <w:t>svou</w:t>
      </w:r>
      <w:proofErr w:type="spellEnd"/>
      <w:r w:rsidRPr="00D75784">
        <w:rPr>
          <w:rFonts w:cs="Arial"/>
          <w:lang w:val="en-US"/>
        </w:rPr>
        <w:t xml:space="preserve"> </w:t>
      </w:r>
      <w:proofErr w:type="spellStart"/>
      <w:r w:rsidRPr="00D75784">
        <w:rPr>
          <w:rFonts w:cs="Arial"/>
          <w:lang w:val="en-US"/>
        </w:rPr>
        <w:t>identitu</w:t>
      </w:r>
      <w:proofErr w:type="spellEnd"/>
      <w:r w:rsidRPr="00D75784">
        <w:rPr>
          <w:rFonts w:cs="Arial"/>
          <w:lang w:val="en-US"/>
        </w:rPr>
        <w:t>?</w:t>
      </w:r>
      <w:proofErr w:type="gramEnd"/>
      <w:r w:rsidRPr="00D75784">
        <w:rPr>
          <w:rFonts w:cs="Arial"/>
          <w:lang w:val="en-US"/>
        </w:rPr>
        <w:t xml:space="preserve"> </w:t>
      </w:r>
      <w:proofErr w:type="spellStart"/>
      <w:proofErr w:type="gramStart"/>
      <w:r w:rsidRPr="00D75784">
        <w:rPr>
          <w:rFonts w:cs="Arial"/>
          <w:lang w:val="en-US"/>
        </w:rPr>
        <w:t>Část</w:t>
      </w:r>
      <w:proofErr w:type="spellEnd"/>
      <w:r w:rsidRPr="00D75784">
        <w:rPr>
          <w:rFonts w:cs="Arial"/>
          <w:lang w:val="en-US"/>
        </w:rPr>
        <w:t xml:space="preserve"> I. </w:t>
      </w:r>
      <w:proofErr w:type="spellStart"/>
      <w:r w:rsidRPr="00D75784">
        <w:rPr>
          <w:rFonts w:cs="Arial"/>
          <w:lang w:val="en-US"/>
        </w:rPr>
        <w:t>Lékařství-zdraví-nemoc</w:t>
      </w:r>
      <w:proofErr w:type="spellEnd"/>
      <w:r w:rsidRPr="00D75784">
        <w:rPr>
          <w:rFonts w:cs="Arial"/>
          <w:lang w:val="en-US"/>
        </w:rPr>
        <w:t>.</w:t>
      </w:r>
      <w:proofErr w:type="gramEnd"/>
      <w:r w:rsidRPr="00D75784">
        <w:rPr>
          <w:rFonts w:cs="Arial"/>
          <w:lang w:val="en-US"/>
        </w:rPr>
        <w:t xml:space="preserve"> </w:t>
      </w:r>
      <w:proofErr w:type="spellStart"/>
      <w:proofErr w:type="gramStart"/>
      <w:r w:rsidRPr="00D75784">
        <w:rPr>
          <w:rFonts w:cs="Arial"/>
          <w:lang w:val="en-US"/>
        </w:rPr>
        <w:t>Čas</w:t>
      </w:r>
      <w:proofErr w:type="spellEnd"/>
      <w:proofErr w:type="gramEnd"/>
      <w:r w:rsidRPr="00D75784">
        <w:rPr>
          <w:rFonts w:cs="Arial"/>
          <w:lang w:val="en-US"/>
        </w:rPr>
        <w:t xml:space="preserve">. </w:t>
      </w:r>
      <w:proofErr w:type="spellStart"/>
      <w:proofErr w:type="gramStart"/>
      <w:r w:rsidRPr="00D75784">
        <w:rPr>
          <w:rFonts w:cs="Arial"/>
          <w:lang w:val="en-US"/>
        </w:rPr>
        <w:t>Lék</w:t>
      </w:r>
      <w:proofErr w:type="spellEnd"/>
      <w:r w:rsidRPr="00D75784">
        <w:rPr>
          <w:rFonts w:cs="Arial"/>
          <w:lang w:val="en-US"/>
        </w:rPr>
        <w:t>.</w:t>
      </w:r>
      <w:proofErr w:type="gramEnd"/>
      <w:r w:rsidRPr="00D75784">
        <w:rPr>
          <w:rFonts w:cs="Arial"/>
          <w:lang w:val="en-US"/>
        </w:rPr>
        <w:t xml:space="preserve"> </w:t>
      </w:r>
      <w:r w:rsidRPr="00D75784">
        <w:rPr>
          <w:rFonts w:cs="Arial"/>
        </w:rPr>
        <w:t>č</w:t>
      </w:r>
      <w:proofErr w:type="spellStart"/>
      <w:r w:rsidRPr="00D75784">
        <w:rPr>
          <w:rFonts w:cs="Arial"/>
          <w:lang w:val="en-US"/>
        </w:rPr>
        <w:t>es</w:t>
      </w:r>
      <w:proofErr w:type="spellEnd"/>
      <w:r w:rsidRPr="00D75784">
        <w:rPr>
          <w:rFonts w:cs="Arial"/>
          <w:lang w:val="en-US"/>
        </w:rPr>
        <w:t>., 140, 2001, č. 20 s</w:t>
      </w:r>
      <w:r w:rsidRPr="00D75784">
        <w:rPr>
          <w:rFonts w:cs="Arial"/>
        </w:rPr>
        <w:t xml:space="preserve">. </w:t>
      </w:r>
      <w:r w:rsidRPr="00D75784">
        <w:rPr>
          <w:rFonts w:cs="Arial"/>
          <w:lang w:val="en-US"/>
        </w:rPr>
        <w:t>615-618.</w:t>
      </w:r>
    </w:p>
    <w:p w:rsidR="00E610FE" w:rsidRPr="00D75784" w:rsidRDefault="00E610FE" w:rsidP="00D75784">
      <w:pPr>
        <w:spacing w:after="0"/>
        <w:jc w:val="both"/>
      </w:pPr>
    </w:p>
    <w:p w:rsidR="00622457" w:rsidRPr="00D75784" w:rsidRDefault="00622457" w:rsidP="00622457">
      <w:pPr>
        <w:spacing w:after="0"/>
        <w:jc w:val="both"/>
        <w:rPr>
          <w:b/>
        </w:rPr>
      </w:pPr>
      <w:r w:rsidRPr="00D75784">
        <w:rPr>
          <w:b/>
        </w:rPr>
        <w:t>Internetové zdroje:</w:t>
      </w:r>
    </w:p>
    <w:p w:rsidR="001874C5" w:rsidRPr="00E610FE" w:rsidRDefault="00BC33D3" w:rsidP="00BC33D3">
      <w:pPr>
        <w:pStyle w:val="Normlnweb"/>
        <w:spacing w:before="0" w:beforeAutospacing="0" w:after="0" w:afterAutospacing="0"/>
        <w:ind w:left="181" w:hanging="181"/>
        <w:rPr>
          <w:rFonts w:asciiTheme="minorHAnsi" w:hAnsiTheme="minorHAnsi"/>
          <w:sz w:val="22"/>
          <w:szCs w:val="22"/>
        </w:rPr>
      </w:pPr>
      <w:hyperlink r:id="rId15" w:history="1">
        <w:r w:rsidR="001874C5" w:rsidRPr="00E610FE">
          <w:rPr>
            <w:rStyle w:val="Hypertextovodkaz"/>
            <w:rFonts w:asciiTheme="minorHAnsi" w:hAnsiTheme="minorHAnsi"/>
            <w:color w:val="auto"/>
            <w:sz w:val="22"/>
            <w:szCs w:val="22"/>
            <w:u w:val="none"/>
          </w:rPr>
          <w:t>www.anabell.cz</w:t>
        </w:r>
      </w:hyperlink>
      <w:r w:rsidR="001874C5" w:rsidRPr="00E610FE">
        <w:rPr>
          <w:rFonts w:asciiTheme="minorHAnsi" w:hAnsiTheme="minorHAnsi"/>
          <w:sz w:val="22"/>
          <w:szCs w:val="22"/>
        </w:rPr>
        <w:t>.</w:t>
      </w:r>
    </w:p>
    <w:p w:rsidR="00E610FE" w:rsidRDefault="00BC33D3" w:rsidP="00BC33D3">
      <w:pPr>
        <w:pStyle w:val="Normlnweb"/>
        <w:spacing w:before="0" w:beforeAutospacing="0" w:after="0" w:afterAutospacing="0"/>
        <w:ind w:left="181" w:hanging="181"/>
        <w:rPr>
          <w:rStyle w:val="Hypertextovodkaz"/>
          <w:rFonts w:asciiTheme="minorHAnsi" w:hAnsiTheme="minorHAnsi"/>
          <w:color w:val="auto"/>
          <w:sz w:val="22"/>
          <w:szCs w:val="22"/>
          <w:u w:val="none"/>
        </w:rPr>
      </w:pPr>
      <w:hyperlink r:id="rId16" w:history="1">
        <w:r w:rsidR="001874C5" w:rsidRPr="00E610FE">
          <w:rPr>
            <w:rStyle w:val="Hypertextovodkaz"/>
            <w:rFonts w:asciiTheme="minorHAnsi" w:hAnsiTheme="minorHAnsi"/>
            <w:color w:val="auto"/>
            <w:sz w:val="22"/>
            <w:szCs w:val="22"/>
            <w:u w:val="none"/>
          </w:rPr>
          <w:t>www.fzv.cz</w:t>
        </w:r>
      </w:hyperlink>
    </w:p>
    <w:p w:rsidR="00E610FE" w:rsidRPr="00E610FE" w:rsidRDefault="00BC33D3" w:rsidP="00BC33D3">
      <w:pPr>
        <w:pStyle w:val="Normlnweb"/>
        <w:spacing w:before="0" w:beforeAutospacing="0" w:after="0" w:afterAutospacing="0"/>
        <w:ind w:left="181" w:hanging="181"/>
        <w:rPr>
          <w:rStyle w:val="Hypertextovodkaz"/>
          <w:rFonts w:asciiTheme="minorHAnsi" w:hAnsiTheme="minorHAnsi"/>
          <w:color w:val="auto"/>
          <w:sz w:val="22"/>
          <w:szCs w:val="22"/>
          <w:u w:val="none"/>
        </w:rPr>
      </w:pPr>
      <w:hyperlink r:id="rId17" w:history="1">
        <w:r w:rsidR="00E610FE" w:rsidRPr="00E610FE">
          <w:rPr>
            <w:rStyle w:val="Hypertextovodkaz"/>
            <w:rFonts w:asciiTheme="minorHAnsi" w:hAnsiTheme="minorHAnsi" w:cs="Arial"/>
            <w:color w:val="auto"/>
            <w:u w:val="none"/>
          </w:rPr>
          <w:t>www.google.cz/search</w:t>
        </w:r>
      </w:hyperlink>
    </w:p>
    <w:p w:rsidR="001874C5" w:rsidRPr="00E610FE" w:rsidRDefault="00BC33D3" w:rsidP="00BC33D3">
      <w:pPr>
        <w:pStyle w:val="Normlnweb"/>
        <w:spacing w:before="0" w:beforeAutospacing="0" w:after="0" w:afterAutospacing="0"/>
        <w:ind w:left="181" w:hanging="181"/>
        <w:rPr>
          <w:rFonts w:asciiTheme="minorHAnsi" w:hAnsiTheme="minorHAnsi"/>
          <w:sz w:val="22"/>
          <w:szCs w:val="22"/>
        </w:rPr>
      </w:pPr>
      <w:hyperlink r:id="rId18" w:history="1">
        <w:r w:rsidR="001874C5" w:rsidRPr="00E610FE">
          <w:rPr>
            <w:rStyle w:val="Hypertextovodkaz"/>
            <w:rFonts w:asciiTheme="minorHAnsi" w:hAnsiTheme="minorHAnsi"/>
            <w:color w:val="auto"/>
            <w:sz w:val="22"/>
            <w:szCs w:val="22"/>
            <w:u w:val="none"/>
          </w:rPr>
          <w:t>www.hbsc.upol.cz</w:t>
        </w:r>
      </w:hyperlink>
      <w:r w:rsidR="001874C5" w:rsidRPr="00E610FE">
        <w:rPr>
          <w:rFonts w:asciiTheme="minorHAnsi" w:hAnsiTheme="minorHAnsi"/>
          <w:sz w:val="22"/>
          <w:szCs w:val="22"/>
        </w:rPr>
        <w:t>.</w:t>
      </w:r>
    </w:p>
    <w:p w:rsidR="001874C5" w:rsidRPr="00E610FE" w:rsidRDefault="00BC33D3" w:rsidP="00BC33D3">
      <w:pPr>
        <w:pStyle w:val="Normlnweb"/>
        <w:spacing w:before="0" w:beforeAutospacing="0" w:after="0" w:afterAutospacing="0"/>
        <w:ind w:left="181" w:hanging="181"/>
        <w:rPr>
          <w:rStyle w:val="Hypertextovodkaz"/>
          <w:rFonts w:asciiTheme="minorHAnsi" w:hAnsiTheme="minorHAnsi"/>
          <w:color w:val="auto"/>
          <w:sz w:val="22"/>
          <w:szCs w:val="22"/>
          <w:u w:val="none"/>
        </w:rPr>
      </w:pPr>
      <w:hyperlink r:id="rId19" w:history="1">
        <w:r w:rsidR="001874C5" w:rsidRPr="00E610FE">
          <w:rPr>
            <w:rStyle w:val="Hypertextovodkaz"/>
            <w:rFonts w:asciiTheme="minorHAnsi" w:hAnsiTheme="minorHAnsi"/>
            <w:color w:val="auto"/>
            <w:sz w:val="22"/>
            <w:szCs w:val="22"/>
            <w:u w:val="none"/>
          </w:rPr>
          <w:t>www.hravezijzdrave.cz</w:t>
        </w:r>
      </w:hyperlink>
    </w:p>
    <w:p w:rsidR="00E610FE" w:rsidRDefault="00BC33D3" w:rsidP="00BC33D3">
      <w:pPr>
        <w:pStyle w:val="Normlnweb"/>
        <w:spacing w:before="0" w:beforeAutospacing="0" w:after="0" w:afterAutospacing="0"/>
        <w:ind w:left="181" w:hanging="181"/>
        <w:rPr>
          <w:rFonts w:asciiTheme="minorHAnsi" w:hAnsiTheme="minorHAnsi"/>
          <w:sz w:val="22"/>
          <w:szCs w:val="22"/>
        </w:rPr>
      </w:pPr>
      <w:hyperlink r:id="rId20" w:history="1">
        <w:r w:rsidR="001874C5" w:rsidRPr="00E610FE">
          <w:rPr>
            <w:rStyle w:val="Hypertextovodkaz"/>
            <w:rFonts w:asciiTheme="minorHAnsi" w:hAnsiTheme="minorHAnsi"/>
            <w:color w:val="auto"/>
            <w:sz w:val="22"/>
            <w:szCs w:val="22"/>
            <w:u w:val="none"/>
          </w:rPr>
          <w:t>www.msmt.cz</w:t>
        </w:r>
      </w:hyperlink>
    </w:p>
    <w:p w:rsidR="00E610FE" w:rsidRPr="00E610FE" w:rsidRDefault="00E610FE" w:rsidP="00BC33D3">
      <w:pPr>
        <w:pStyle w:val="Normlnweb"/>
        <w:spacing w:before="0" w:beforeAutospacing="0" w:after="0" w:afterAutospacing="0"/>
        <w:ind w:left="181" w:hanging="181"/>
        <w:rPr>
          <w:rFonts w:asciiTheme="minorHAnsi" w:hAnsiTheme="minorHAnsi"/>
          <w:sz w:val="22"/>
          <w:szCs w:val="22"/>
        </w:rPr>
      </w:pPr>
      <w:r w:rsidRPr="00E610FE">
        <w:rPr>
          <w:rFonts w:asciiTheme="minorHAnsi" w:hAnsiTheme="minorHAnsi" w:cs="Arial"/>
          <w:shd w:val="clear" w:color="auto" w:fill="FFFFFF"/>
        </w:rPr>
        <w:t>www.sdetmiprotiobezite.cz</w:t>
      </w:r>
    </w:p>
    <w:p w:rsidR="001874C5" w:rsidRPr="00E610FE" w:rsidRDefault="00BC33D3" w:rsidP="00BC33D3">
      <w:pPr>
        <w:pStyle w:val="Normlnweb"/>
        <w:spacing w:before="0" w:beforeAutospacing="0" w:after="0" w:afterAutospacing="0"/>
        <w:ind w:left="181" w:hanging="181"/>
        <w:rPr>
          <w:rFonts w:asciiTheme="minorHAnsi" w:hAnsiTheme="minorHAnsi"/>
          <w:sz w:val="22"/>
          <w:szCs w:val="22"/>
        </w:rPr>
      </w:pPr>
      <w:hyperlink r:id="rId21" w:history="1">
        <w:r w:rsidR="001874C5" w:rsidRPr="00E610FE">
          <w:rPr>
            <w:rStyle w:val="Hypertextovodkaz"/>
            <w:rFonts w:asciiTheme="minorHAnsi" w:hAnsiTheme="minorHAnsi"/>
            <w:color w:val="auto"/>
            <w:sz w:val="22"/>
            <w:szCs w:val="22"/>
            <w:u w:val="none"/>
          </w:rPr>
          <w:t>www.stob.cz</w:t>
        </w:r>
      </w:hyperlink>
    </w:p>
    <w:p w:rsidR="001874C5" w:rsidRPr="00E610FE" w:rsidRDefault="00BC33D3" w:rsidP="00BC33D3">
      <w:pPr>
        <w:pStyle w:val="Normlnweb"/>
        <w:spacing w:before="0" w:beforeAutospacing="0" w:after="0" w:afterAutospacing="0"/>
        <w:ind w:left="181" w:hanging="181"/>
        <w:rPr>
          <w:rStyle w:val="Zvraznn"/>
          <w:rFonts w:asciiTheme="minorHAnsi" w:hAnsiTheme="minorHAnsi"/>
          <w:i w:val="0"/>
          <w:sz w:val="22"/>
          <w:szCs w:val="22"/>
        </w:rPr>
      </w:pPr>
      <w:hyperlink r:id="rId22" w:history="1">
        <w:r w:rsidR="001874C5" w:rsidRPr="00E610FE">
          <w:rPr>
            <w:rStyle w:val="Hypertextovodkaz"/>
            <w:rFonts w:asciiTheme="minorHAnsi" w:hAnsiTheme="minorHAnsi"/>
            <w:color w:val="auto"/>
            <w:sz w:val="22"/>
            <w:szCs w:val="22"/>
            <w:u w:val="none"/>
          </w:rPr>
          <w:t>www.rvp.cz</w:t>
        </w:r>
      </w:hyperlink>
    </w:p>
    <w:p w:rsidR="001874C5" w:rsidRPr="00E610FE" w:rsidRDefault="00BC33D3" w:rsidP="00BC33D3">
      <w:pPr>
        <w:pStyle w:val="Normlnweb"/>
        <w:spacing w:before="0" w:beforeAutospacing="0" w:after="0" w:afterAutospacing="0"/>
        <w:ind w:left="181" w:hanging="181"/>
        <w:rPr>
          <w:rStyle w:val="Zvraznn"/>
          <w:rFonts w:asciiTheme="minorHAnsi" w:hAnsiTheme="minorHAnsi"/>
          <w:i w:val="0"/>
          <w:sz w:val="22"/>
          <w:szCs w:val="22"/>
        </w:rPr>
      </w:pPr>
      <w:hyperlink r:id="rId23" w:history="1">
        <w:r w:rsidR="001874C5" w:rsidRPr="00E610FE">
          <w:rPr>
            <w:rStyle w:val="Hypertextovodkaz"/>
            <w:rFonts w:asciiTheme="minorHAnsi" w:hAnsiTheme="minorHAnsi"/>
            <w:color w:val="auto"/>
            <w:sz w:val="22"/>
            <w:szCs w:val="22"/>
            <w:u w:val="none"/>
          </w:rPr>
          <w:t>www.viscojis.cz</w:t>
        </w:r>
      </w:hyperlink>
      <w:r w:rsidR="001874C5" w:rsidRPr="00E610FE">
        <w:rPr>
          <w:rStyle w:val="Zvraznn"/>
          <w:rFonts w:asciiTheme="minorHAnsi" w:hAnsiTheme="minorHAnsi"/>
          <w:sz w:val="22"/>
          <w:szCs w:val="22"/>
        </w:rPr>
        <w:t xml:space="preserve"> </w:t>
      </w:r>
    </w:p>
    <w:p w:rsidR="001874C5" w:rsidRPr="00E610FE" w:rsidRDefault="00BC33D3" w:rsidP="00BC33D3">
      <w:pPr>
        <w:pStyle w:val="Normlnweb"/>
        <w:spacing w:before="0" w:beforeAutospacing="0" w:after="0" w:afterAutospacing="0"/>
        <w:ind w:left="181" w:hanging="181"/>
        <w:rPr>
          <w:rFonts w:asciiTheme="minorHAnsi" w:hAnsiTheme="minorHAnsi"/>
          <w:sz w:val="22"/>
          <w:szCs w:val="22"/>
        </w:rPr>
      </w:pPr>
      <w:hyperlink r:id="rId24" w:history="1">
        <w:r w:rsidR="001874C5" w:rsidRPr="00E610FE">
          <w:rPr>
            <w:rStyle w:val="Hypertextovodkaz"/>
            <w:rFonts w:asciiTheme="minorHAnsi" w:hAnsiTheme="minorHAnsi"/>
            <w:color w:val="auto"/>
            <w:sz w:val="22"/>
            <w:szCs w:val="22"/>
            <w:u w:val="none"/>
          </w:rPr>
          <w:t>www.vychova</w:t>
        </w:r>
      </w:hyperlink>
      <w:r w:rsidR="001874C5" w:rsidRPr="00E610FE">
        <w:rPr>
          <w:rFonts w:asciiTheme="minorHAnsi" w:hAnsiTheme="minorHAnsi"/>
          <w:sz w:val="22"/>
          <w:szCs w:val="22"/>
        </w:rPr>
        <w:t>kezdravi.cz.</w:t>
      </w:r>
    </w:p>
    <w:p w:rsidR="001874C5" w:rsidRPr="00E610FE" w:rsidRDefault="00BC33D3" w:rsidP="00BC33D3">
      <w:pPr>
        <w:pStyle w:val="Normlnweb"/>
        <w:spacing w:before="0" w:beforeAutospacing="0" w:after="0" w:afterAutospacing="0"/>
        <w:ind w:left="181" w:hanging="181"/>
        <w:rPr>
          <w:rFonts w:asciiTheme="minorHAnsi" w:hAnsiTheme="minorHAnsi"/>
          <w:sz w:val="22"/>
          <w:szCs w:val="22"/>
        </w:rPr>
      </w:pPr>
      <w:hyperlink r:id="rId25" w:history="1">
        <w:r w:rsidR="001874C5" w:rsidRPr="00E610FE">
          <w:rPr>
            <w:rStyle w:val="Hypertextovodkaz"/>
            <w:rFonts w:asciiTheme="minorHAnsi" w:hAnsiTheme="minorHAnsi"/>
            <w:color w:val="auto"/>
            <w:sz w:val="22"/>
            <w:szCs w:val="22"/>
            <w:u w:val="none"/>
          </w:rPr>
          <w:t>www.vyzivadeti.cz</w:t>
        </w:r>
      </w:hyperlink>
    </w:p>
    <w:p w:rsidR="001874C5" w:rsidRPr="00E610FE" w:rsidRDefault="00BC33D3" w:rsidP="00BC33D3">
      <w:pPr>
        <w:pStyle w:val="Normlnweb"/>
        <w:spacing w:before="0" w:beforeAutospacing="0" w:after="0" w:afterAutospacing="0"/>
        <w:ind w:left="181" w:hanging="181"/>
        <w:rPr>
          <w:rFonts w:asciiTheme="minorHAnsi" w:hAnsiTheme="minorHAnsi"/>
          <w:sz w:val="22"/>
          <w:szCs w:val="22"/>
        </w:rPr>
      </w:pPr>
      <w:hyperlink r:id="rId26" w:history="1">
        <w:r w:rsidR="001874C5" w:rsidRPr="00E610FE">
          <w:rPr>
            <w:rStyle w:val="Hypertextovodkaz"/>
            <w:rFonts w:asciiTheme="minorHAnsi" w:hAnsiTheme="minorHAnsi"/>
            <w:color w:val="auto"/>
            <w:sz w:val="22"/>
            <w:szCs w:val="22"/>
            <w:u w:val="none"/>
          </w:rPr>
          <w:t>www.vyzivaspol.cz</w:t>
        </w:r>
      </w:hyperlink>
      <w:bookmarkStart w:id="2" w:name="_GoBack"/>
      <w:bookmarkEnd w:id="2"/>
    </w:p>
    <w:p w:rsidR="001874C5" w:rsidRPr="00E610FE" w:rsidRDefault="00BC33D3" w:rsidP="00BC33D3">
      <w:pPr>
        <w:pStyle w:val="Normlnweb"/>
        <w:spacing w:before="0" w:beforeAutospacing="0" w:after="0" w:afterAutospacing="0"/>
        <w:ind w:left="181" w:hanging="181"/>
        <w:rPr>
          <w:rFonts w:asciiTheme="minorHAnsi" w:hAnsiTheme="minorHAnsi"/>
          <w:sz w:val="22"/>
          <w:szCs w:val="22"/>
        </w:rPr>
      </w:pPr>
      <w:hyperlink r:id="rId27" w:history="1">
        <w:r w:rsidR="001874C5" w:rsidRPr="00E610FE">
          <w:rPr>
            <w:rStyle w:val="Hypertextovodkaz"/>
            <w:rFonts w:asciiTheme="minorHAnsi" w:hAnsiTheme="minorHAnsi"/>
            <w:color w:val="auto"/>
            <w:sz w:val="22"/>
            <w:szCs w:val="22"/>
            <w:u w:val="none"/>
          </w:rPr>
          <w:t>www.who.cz</w:t>
        </w:r>
      </w:hyperlink>
    </w:p>
    <w:p w:rsidR="001874C5" w:rsidRPr="00E610FE" w:rsidRDefault="00BC33D3" w:rsidP="00BC33D3">
      <w:pPr>
        <w:pStyle w:val="Normlnweb"/>
        <w:spacing w:before="0" w:beforeAutospacing="0" w:after="0" w:afterAutospacing="0"/>
        <w:ind w:left="181" w:hanging="181"/>
        <w:rPr>
          <w:rFonts w:asciiTheme="minorHAnsi" w:hAnsiTheme="minorHAnsi"/>
          <w:sz w:val="22"/>
          <w:szCs w:val="22"/>
        </w:rPr>
      </w:pPr>
      <w:hyperlink r:id="rId28" w:history="1">
        <w:r w:rsidR="001874C5" w:rsidRPr="00E610FE">
          <w:rPr>
            <w:rStyle w:val="Hypertextovodkaz"/>
            <w:rFonts w:asciiTheme="minorHAnsi" w:hAnsiTheme="minorHAnsi"/>
            <w:color w:val="auto"/>
            <w:sz w:val="22"/>
            <w:szCs w:val="22"/>
            <w:u w:val="none"/>
          </w:rPr>
          <w:t>www.zdravaabeceda.cz</w:t>
        </w:r>
      </w:hyperlink>
      <w:r w:rsidR="001874C5" w:rsidRPr="00E610FE">
        <w:rPr>
          <w:rFonts w:asciiTheme="minorHAnsi" w:hAnsiTheme="minorHAnsi"/>
          <w:sz w:val="22"/>
          <w:szCs w:val="22"/>
        </w:rPr>
        <w:t xml:space="preserve"> </w:t>
      </w:r>
    </w:p>
    <w:p w:rsidR="00B90DEE" w:rsidRPr="00BC33D3" w:rsidRDefault="00BC33D3" w:rsidP="00BC33D3">
      <w:pPr>
        <w:pStyle w:val="Normlnweb"/>
        <w:spacing w:before="0" w:beforeAutospacing="0" w:after="0" w:afterAutospacing="0"/>
        <w:ind w:left="181" w:hanging="181"/>
        <w:rPr>
          <w:rFonts w:asciiTheme="minorHAnsi" w:hAnsiTheme="minorHAnsi"/>
          <w:sz w:val="22"/>
          <w:szCs w:val="22"/>
        </w:rPr>
      </w:pPr>
      <w:hyperlink r:id="rId29" w:history="1">
        <w:r w:rsidR="001874C5" w:rsidRPr="00E610FE">
          <w:rPr>
            <w:rStyle w:val="Hypertextovodkaz"/>
            <w:rFonts w:asciiTheme="minorHAnsi" w:hAnsiTheme="minorHAnsi"/>
            <w:color w:val="auto"/>
            <w:sz w:val="22"/>
            <w:szCs w:val="22"/>
            <w:u w:val="none"/>
          </w:rPr>
          <w:t>www.zdrava5.cz</w:t>
        </w:r>
      </w:hyperlink>
    </w:p>
    <w:p w:rsidR="00B90DEE" w:rsidRDefault="00B90DEE" w:rsidP="00C10E20">
      <w:pPr>
        <w:jc w:val="both"/>
      </w:pPr>
    </w:p>
    <w:p w:rsidR="00B90DEE" w:rsidRDefault="00B90DEE" w:rsidP="00C10E20">
      <w:pPr>
        <w:jc w:val="both"/>
      </w:pPr>
    </w:p>
    <w:p w:rsidR="00B90DEE" w:rsidRDefault="00B90DEE" w:rsidP="008E4AF5">
      <w:pPr>
        <w:jc w:val="both"/>
      </w:pPr>
    </w:p>
    <w:p w:rsidR="00B90DEE" w:rsidRDefault="00B90DEE" w:rsidP="008E4AF5">
      <w:pPr>
        <w:jc w:val="both"/>
      </w:pPr>
    </w:p>
    <w:sectPr w:rsidR="00B90DEE">
      <w:head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D5" w:rsidRDefault="00B271D5" w:rsidP="008E4AF5">
      <w:pPr>
        <w:spacing w:after="0" w:line="240" w:lineRule="auto"/>
      </w:pPr>
      <w:r>
        <w:separator/>
      </w:r>
    </w:p>
  </w:endnote>
  <w:endnote w:type="continuationSeparator" w:id="0">
    <w:p w:rsidR="00B271D5" w:rsidRDefault="00B271D5"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yriadPro-It">
    <w:altName w:val="MS Gothic"/>
    <w:panose1 w:val="00000000000000000000"/>
    <w:charset w:val="80"/>
    <w:family w:val="swiss"/>
    <w:notTrueType/>
    <w:pitch w:val="default"/>
    <w:sig w:usb0="00000001" w:usb1="08070000" w:usb2="00000010" w:usb3="00000000" w:csb0="00020000" w:csb1="00000000"/>
  </w:font>
  <w:font w:name="Cambri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D5" w:rsidRDefault="00B271D5" w:rsidP="008E4AF5">
      <w:pPr>
        <w:spacing w:after="0" w:line="240" w:lineRule="auto"/>
      </w:pPr>
      <w:r>
        <w:separator/>
      </w:r>
    </w:p>
  </w:footnote>
  <w:footnote w:type="continuationSeparator" w:id="0">
    <w:p w:rsidR="00B271D5" w:rsidRDefault="00B271D5"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F5" w:rsidRPr="008E4AF5" w:rsidRDefault="008E4AF5"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Pr>
        <w:noProof/>
        <w:color w:val="000000"/>
        <w:lang w:eastAsia="cs-CZ"/>
      </w:rPr>
      <mc:AlternateContent>
        <mc:Choice Requires="wps">
          <w:drawing>
            <wp:anchor distT="0" distB="0" distL="114300" distR="114300" simplePos="0" relativeHeight="251659264" behindDoc="0" locked="0" layoutInCell="1" allowOverlap="1" wp14:anchorId="1CC11203" wp14:editId="35DCCA7E">
              <wp:simplePos x="0" y="0"/>
              <wp:positionH relativeFrom="page">
                <wp:align>center</wp:align>
              </wp:positionH>
              <wp:positionV relativeFrom="page">
                <wp:align>center</wp:align>
              </wp:positionV>
              <wp:extent cx="7376160" cy="9555480"/>
              <wp:effectExtent l="0" t="0" r="7620" b="0"/>
              <wp:wrapNone/>
              <wp:docPr id="41" name="Obdélník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5AA78B7F" id="Obdélník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" filled="f" strokecolor="#938953 [1614]" strokeweight="2pt">
              <w10:wrap anchorx="page" anchory="page"/>
            </v:rect>
          </w:pict>
        </mc:Fallback>
      </mc:AlternateContent>
    </w:r>
    <w:sdt>
      <w:sdtPr>
        <w:rPr>
          <w:color w:val="FF0000"/>
          <w:sz w:val="28"/>
          <w:szCs w:val="28"/>
        </w:rPr>
        <w:alias w:val="Název"/>
        <w:id w:val="-1573737401"/>
        <w:placeholder>
          <w:docPart w:val="AB74994AD1C3414BB3437A6315654515"/>
        </w:placeholder>
        <w:dataBinding w:prefixMappings="xmlns:ns0='http://schemas.openxmlformats.org/package/2006/metadata/core-properties' xmlns:ns1='http://purl.org/dc/elements/1.1/'" w:xpath="/ns0:coreProperties[1]/ns1:title[1]" w:storeItemID="{6C3C8BC8-F283-45AE-878A-BAB7291924A1}"/>
        <w:text/>
      </w:sdtPr>
      <w:sdtEndPr/>
      <w:sdtContent>
        <w:r w:rsidRPr="008E4AF5">
          <w:rPr>
            <w:color w:val="FF0000"/>
            <w:sz w:val="28"/>
            <w:szCs w:val="28"/>
          </w:rPr>
          <w:t xml:space="preserve">Studijní text k </w:t>
        </w:r>
        <w:proofErr w:type="gramStart"/>
        <w:r w:rsidRPr="008E4AF5">
          <w:rPr>
            <w:color w:val="FF0000"/>
            <w:sz w:val="28"/>
            <w:szCs w:val="28"/>
          </w:rPr>
          <w:t xml:space="preserve">projektu                                                                                                                                           </w:t>
        </w:r>
        <w:r w:rsidR="00B90DEE">
          <w:rPr>
            <w:color w:val="FF0000"/>
            <w:sz w:val="28"/>
            <w:szCs w:val="28"/>
          </w:rPr>
          <w:t>„</w:t>
        </w:r>
        <w:r w:rsidRPr="008E4AF5">
          <w:rPr>
            <w:color w:val="FF0000"/>
            <w:sz w:val="28"/>
            <w:szCs w:val="28"/>
          </w:rPr>
          <w:t>Zvyšování</w:t>
        </w:r>
        <w:proofErr w:type="gramEnd"/>
        <w:r w:rsidRPr="008E4AF5">
          <w:rPr>
            <w:color w:val="FF0000"/>
            <w:sz w:val="28"/>
            <w:szCs w:val="28"/>
          </w:rPr>
          <w:t xml:space="preserve"> kompetencí v rámci přípravy pedagogických pracovníků na UP</w:t>
        </w:r>
      </w:sdtContent>
    </w:sdt>
    <w:r w:rsidR="00B90DEE">
      <w:rPr>
        <w:color w:val="FF0000"/>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042"/>
    <w:multiLevelType w:val="hybridMultilevel"/>
    <w:tmpl w:val="CFF0E70E"/>
    <w:lvl w:ilvl="0" w:tplc="86BA2168">
      <w:start w:val="1"/>
      <w:numFmt w:val="bullet"/>
      <w:lvlText w:val=""/>
      <w:lvlJc w:val="left"/>
      <w:pPr>
        <w:tabs>
          <w:tab w:val="num" w:pos="720"/>
        </w:tabs>
        <w:ind w:left="720" w:hanging="360"/>
      </w:pPr>
      <w:rPr>
        <w:rFonts w:ascii="Wingdings" w:hAnsi="Wingdings" w:hint="default"/>
      </w:rPr>
    </w:lvl>
    <w:lvl w:ilvl="1" w:tplc="E02202B0" w:tentative="1">
      <w:start w:val="1"/>
      <w:numFmt w:val="bullet"/>
      <w:lvlText w:val=""/>
      <w:lvlJc w:val="left"/>
      <w:pPr>
        <w:tabs>
          <w:tab w:val="num" w:pos="1440"/>
        </w:tabs>
        <w:ind w:left="1440" w:hanging="360"/>
      </w:pPr>
      <w:rPr>
        <w:rFonts w:ascii="Wingdings" w:hAnsi="Wingdings" w:hint="default"/>
      </w:rPr>
    </w:lvl>
    <w:lvl w:ilvl="2" w:tplc="6596970E" w:tentative="1">
      <w:start w:val="1"/>
      <w:numFmt w:val="bullet"/>
      <w:lvlText w:val=""/>
      <w:lvlJc w:val="left"/>
      <w:pPr>
        <w:tabs>
          <w:tab w:val="num" w:pos="2160"/>
        </w:tabs>
        <w:ind w:left="2160" w:hanging="360"/>
      </w:pPr>
      <w:rPr>
        <w:rFonts w:ascii="Wingdings" w:hAnsi="Wingdings" w:hint="default"/>
      </w:rPr>
    </w:lvl>
    <w:lvl w:ilvl="3" w:tplc="6C8EE42C" w:tentative="1">
      <w:start w:val="1"/>
      <w:numFmt w:val="bullet"/>
      <w:lvlText w:val=""/>
      <w:lvlJc w:val="left"/>
      <w:pPr>
        <w:tabs>
          <w:tab w:val="num" w:pos="2880"/>
        </w:tabs>
        <w:ind w:left="2880" w:hanging="360"/>
      </w:pPr>
      <w:rPr>
        <w:rFonts w:ascii="Wingdings" w:hAnsi="Wingdings" w:hint="default"/>
      </w:rPr>
    </w:lvl>
    <w:lvl w:ilvl="4" w:tplc="F9803E02" w:tentative="1">
      <w:start w:val="1"/>
      <w:numFmt w:val="bullet"/>
      <w:lvlText w:val=""/>
      <w:lvlJc w:val="left"/>
      <w:pPr>
        <w:tabs>
          <w:tab w:val="num" w:pos="3600"/>
        </w:tabs>
        <w:ind w:left="3600" w:hanging="360"/>
      </w:pPr>
      <w:rPr>
        <w:rFonts w:ascii="Wingdings" w:hAnsi="Wingdings" w:hint="default"/>
      </w:rPr>
    </w:lvl>
    <w:lvl w:ilvl="5" w:tplc="5128DAB8" w:tentative="1">
      <w:start w:val="1"/>
      <w:numFmt w:val="bullet"/>
      <w:lvlText w:val=""/>
      <w:lvlJc w:val="left"/>
      <w:pPr>
        <w:tabs>
          <w:tab w:val="num" w:pos="4320"/>
        </w:tabs>
        <w:ind w:left="4320" w:hanging="360"/>
      </w:pPr>
      <w:rPr>
        <w:rFonts w:ascii="Wingdings" w:hAnsi="Wingdings" w:hint="default"/>
      </w:rPr>
    </w:lvl>
    <w:lvl w:ilvl="6" w:tplc="861A1700" w:tentative="1">
      <w:start w:val="1"/>
      <w:numFmt w:val="bullet"/>
      <w:lvlText w:val=""/>
      <w:lvlJc w:val="left"/>
      <w:pPr>
        <w:tabs>
          <w:tab w:val="num" w:pos="5040"/>
        </w:tabs>
        <w:ind w:left="5040" w:hanging="360"/>
      </w:pPr>
      <w:rPr>
        <w:rFonts w:ascii="Wingdings" w:hAnsi="Wingdings" w:hint="default"/>
      </w:rPr>
    </w:lvl>
    <w:lvl w:ilvl="7" w:tplc="D960DEB2" w:tentative="1">
      <w:start w:val="1"/>
      <w:numFmt w:val="bullet"/>
      <w:lvlText w:val=""/>
      <w:lvlJc w:val="left"/>
      <w:pPr>
        <w:tabs>
          <w:tab w:val="num" w:pos="5760"/>
        </w:tabs>
        <w:ind w:left="5760" w:hanging="360"/>
      </w:pPr>
      <w:rPr>
        <w:rFonts w:ascii="Wingdings" w:hAnsi="Wingdings" w:hint="default"/>
      </w:rPr>
    </w:lvl>
    <w:lvl w:ilvl="8" w:tplc="FD540884" w:tentative="1">
      <w:start w:val="1"/>
      <w:numFmt w:val="bullet"/>
      <w:lvlText w:val=""/>
      <w:lvlJc w:val="left"/>
      <w:pPr>
        <w:tabs>
          <w:tab w:val="num" w:pos="6480"/>
        </w:tabs>
        <w:ind w:left="6480" w:hanging="360"/>
      </w:pPr>
      <w:rPr>
        <w:rFonts w:ascii="Wingdings" w:hAnsi="Wingdings" w:hint="default"/>
      </w:rPr>
    </w:lvl>
  </w:abstractNum>
  <w:abstractNum w:abstractNumId="1">
    <w:nsid w:val="07877AC9"/>
    <w:multiLevelType w:val="hybridMultilevel"/>
    <w:tmpl w:val="62EC5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251C4B"/>
    <w:multiLevelType w:val="hybridMultilevel"/>
    <w:tmpl w:val="464AD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E5251B"/>
    <w:multiLevelType w:val="hybridMultilevel"/>
    <w:tmpl w:val="A87063AC"/>
    <w:lvl w:ilvl="0" w:tplc="2598B1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4D4742"/>
    <w:multiLevelType w:val="hybridMultilevel"/>
    <w:tmpl w:val="5BA8AC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A0FDF"/>
    <w:multiLevelType w:val="hybridMultilevel"/>
    <w:tmpl w:val="0C0A424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8E1190"/>
    <w:multiLevelType w:val="hybridMultilevel"/>
    <w:tmpl w:val="C94844E8"/>
    <w:lvl w:ilvl="0" w:tplc="EB84B77A">
      <w:start w:val="1"/>
      <w:numFmt w:val="bullet"/>
      <w:lvlText w:val=""/>
      <w:lvlJc w:val="left"/>
      <w:pPr>
        <w:tabs>
          <w:tab w:val="num" w:pos="720"/>
        </w:tabs>
        <w:ind w:left="720" w:hanging="360"/>
      </w:pPr>
      <w:rPr>
        <w:rFonts w:ascii="Wingdings" w:hAnsi="Wingdings" w:hint="default"/>
      </w:rPr>
    </w:lvl>
    <w:lvl w:ilvl="1" w:tplc="66008744" w:tentative="1">
      <w:start w:val="1"/>
      <w:numFmt w:val="bullet"/>
      <w:lvlText w:val=""/>
      <w:lvlJc w:val="left"/>
      <w:pPr>
        <w:tabs>
          <w:tab w:val="num" w:pos="1440"/>
        </w:tabs>
        <w:ind w:left="1440" w:hanging="360"/>
      </w:pPr>
      <w:rPr>
        <w:rFonts w:ascii="Wingdings" w:hAnsi="Wingdings" w:hint="default"/>
      </w:rPr>
    </w:lvl>
    <w:lvl w:ilvl="2" w:tplc="A8F67106" w:tentative="1">
      <w:start w:val="1"/>
      <w:numFmt w:val="bullet"/>
      <w:lvlText w:val=""/>
      <w:lvlJc w:val="left"/>
      <w:pPr>
        <w:tabs>
          <w:tab w:val="num" w:pos="2160"/>
        </w:tabs>
        <w:ind w:left="2160" w:hanging="360"/>
      </w:pPr>
      <w:rPr>
        <w:rFonts w:ascii="Wingdings" w:hAnsi="Wingdings" w:hint="default"/>
      </w:rPr>
    </w:lvl>
    <w:lvl w:ilvl="3" w:tplc="958C85F2" w:tentative="1">
      <w:start w:val="1"/>
      <w:numFmt w:val="bullet"/>
      <w:lvlText w:val=""/>
      <w:lvlJc w:val="left"/>
      <w:pPr>
        <w:tabs>
          <w:tab w:val="num" w:pos="2880"/>
        </w:tabs>
        <w:ind w:left="2880" w:hanging="360"/>
      </w:pPr>
      <w:rPr>
        <w:rFonts w:ascii="Wingdings" w:hAnsi="Wingdings" w:hint="default"/>
      </w:rPr>
    </w:lvl>
    <w:lvl w:ilvl="4" w:tplc="F9107E8C" w:tentative="1">
      <w:start w:val="1"/>
      <w:numFmt w:val="bullet"/>
      <w:lvlText w:val=""/>
      <w:lvlJc w:val="left"/>
      <w:pPr>
        <w:tabs>
          <w:tab w:val="num" w:pos="3600"/>
        </w:tabs>
        <w:ind w:left="3600" w:hanging="360"/>
      </w:pPr>
      <w:rPr>
        <w:rFonts w:ascii="Wingdings" w:hAnsi="Wingdings" w:hint="default"/>
      </w:rPr>
    </w:lvl>
    <w:lvl w:ilvl="5" w:tplc="3A7C0962" w:tentative="1">
      <w:start w:val="1"/>
      <w:numFmt w:val="bullet"/>
      <w:lvlText w:val=""/>
      <w:lvlJc w:val="left"/>
      <w:pPr>
        <w:tabs>
          <w:tab w:val="num" w:pos="4320"/>
        </w:tabs>
        <w:ind w:left="4320" w:hanging="360"/>
      </w:pPr>
      <w:rPr>
        <w:rFonts w:ascii="Wingdings" w:hAnsi="Wingdings" w:hint="default"/>
      </w:rPr>
    </w:lvl>
    <w:lvl w:ilvl="6" w:tplc="44CEF44A" w:tentative="1">
      <w:start w:val="1"/>
      <w:numFmt w:val="bullet"/>
      <w:lvlText w:val=""/>
      <w:lvlJc w:val="left"/>
      <w:pPr>
        <w:tabs>
          <w:tab w:val="num" w:pos="5040"/>
        </w:tabs>
        <w:ind w:left="5040" w:hanging="360"/>
      </w:pPr>
      <w:rPr>
        <w:rFonts w:ascii="Wingdings" w:hAnsi="Wingdings" w:hint="default"/>
      </w:rPr>
    </w:lvl>
    <w:lvl w:ilvl="7" w:tplc="5792E2A0" w:tentative="1">
      <w:start w:val="1"/>
      <w:numFmt w:val="bullet"/>
      <w:lvlText w:val=""/>
      <w:lvlJc w:val="left"/>
      <w:pPr>
        <w:tabs>
          <w:tab w:val="num" w:pos="5760"/>
        </w:tabs>
        <w:ind w:left="5760" w:hanging="360"/>
      </w:pPr>
      <w:rPr>
        <w:rFonts w:ascii="Wingdings" w:hAnsi="Wingdings" w:hint="default"/>
      </w:rPr>
    </w:lvl>
    <w:lvl w:ilvl="8" w:tplc="BB9A887A" w:tentative="1">
      <w:start w:val="1"/>
      <w:numFmt w:val="bullet"/>
      <w:lvlText w:val=""/>
      <w:lvlJc w:val="left"/>
      <w:pPr>
        <w:tabs>
          <w:tab w:val="num" w:pos="6480"/>
        </w:tabs>
        <w:ind w:left="6480" w:hanging="360"/>
      </w:pPr>
      <w:rPr>
        <w:rFonts w:ascii="Wingdings" w:hAnsi="Wingdings" w:hint="default"/>
      </w:rPr>
    </w:lvl>
  </w:abstractNum>
  <w:abstractNum w:abstractNumId="7">
    <w:nsid w:val="2AEC5804"/>
    <w:multiLevelType w:val="hybridMultilevel"/>
    <w:tmpl w:val="33FCC8C8"/>
    <w:lvl w:ilvl="0" w:tplc="8E26E308">
      <w:start w:val="15"/>
      <w:numFmt w:val="bullet"/>
      <w:lvlText w:val="-"/>
      <w:lvlJc w:val="left"/>
      <w:pPr>
        <w:ind w:left="720" w:hanging="360"/>
      </w:pPr>
      <w:rPr>
        <w:rFonts w:ascii="Calibri" w:eastAsiaTheme="minorHAnsi" w:hAnsi="Calibri"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0F2B40"/>
    <w:multiLevelType w:val="hybridMultilevel"/>
    <w:tmpl w:val="D86E9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B81852"/>
    <w:multiLevelType w:val="hybridMultilevel"/>
    <w:tmpl w:val="59929066"/>
    <w:lvl w:ilvl="0" w:tplc="3B44292A">
      <w:start w:val="1"/>
      <w:numFmt w:val="bullet"/>
      <w:lvlText w:val=""/>
      <w:lvlJc w:val="left"/>
      <w:pPr>
        <w:tabs>
          <w:tab w:val="num" w:pos="720"/>
        </w:tabs>
        <w:ind w:left="720" w:hanging="360"/>
      </w:pPr>
      <w:rPr>
        <w:rFonts w:ascii="Wingdings" w:hAnsi="Wingdings" w:hint="default"/>
      </w:rPr>
    </w:lvl>
    <w:lvl w:ilvl="1" w:tplc="7C900F70" w:tentative="1">
      <w:start w:val="1"/>
      <w:numFmt w:val="bullet"/>
      <w:lvlText w:val=""/>
      <w:lvlJc w:val="left"/>
      <w:pPr>
        <w:tabs>
          <w:tab w:val="num" w:pos="1440"/>
        </w:tabs>
        <w:ind w:left="1440" w:hanging="360"/>
      </w:pPr>
      <w:rPr>
        <w:rFonts w:ascii="Wingdings" w:hAnsi="Wingdings" w:hint="default"/>
      </w:rPr>
    </w:lvl>
    <w:lvl w:ilvl="2" w:tplc="A5AC4642" w:tentative="1">
      <w:start w:val="1"/>
      <w:numFmt w:val="bullet"/>
      <w:lvlText w:val=""/>
      <w:lvlJc w:val="left"/>
      <w:pPr>
        <w:tabs>
          <w:tab w:val="num" w:pos="2160"/>
        </w:tabs>
        <w:ind w:left="2160" w:hanging="360"/>
      </w:pPr>
      <w:rPr>
        <w:rFonts w:ascii="Wingdings" w:hAnsi="Wingdings" w:hint="default"/>
      </w:rPr>
    </w:lvl>
    <w:lvl w:ilvl="3" w:tplc="BA92F07E" w:tentative="1">
      <w:start w:val="1"/>
      <w:numFmt w:val="bullet"/>
      <w:lvlText w:val=""/>
      <w:lvlJc w:val="left"/>
      <w:pPr>
        <w:tabs>
          <w:tab w:val="num" w:pos="2880"/>
        </w:tabs>
        <w:ind w:left="2880" w:hanging="360"/>
      </w:pPr>
      <w:rPr>
        <w:rFonts w:ascii="Wingdings" w:hAnsi="Wingdings" w:hint="default"/>
      </w:rPr>
    </w:lvl>
    <w:lvl w:ilvl="4" w:tplc="96805BB8" w:tentative="1">
      <w:start w:val="1"/>
      <w:numFmt w:val="bullet"/>
      <w:lvlText w:val=""/>
      <w:lvlJc w:val="left"/>
      <w:pPr>
        <w:tabs>
          <w:tab w:val="num" w:pos="3600"/>
        </w:tabs>
        <w:ind w:left="3600" w:hanging="360"/>
      </w:pPr>
      <w:rPr>
        <w:rFonts w:ascii="Wingdings" w:hAnsi="Wingdings" w:hint="default"/>
      </w:rPr>
    </w:lvl>
    <w:lvl w:ilvl="5" w:tplc="3F3A2502" w:tentative="1">
      <w:start w:val="1"/>
      <w:numFmt w:val="bullet"/>
      <w:lvlText w:val=""/>
      <w:lvlJc w:val="left"/>
      <w:pPr>
        <w:tabs>
          <w:tab w:val="num" w:pos="4320"/>
        </w:tabs>
        <w:ind w:left="4320" w:hanging="360"/>
      </w:pPr>
      <w:rPr>
        <w:rFonts w:ascii="Wingdings" w:hAnsi="Wingdings" w:hint="default"/>
      </w:rPr>
    </w:lvl>
    <w:lvl w:ilvl="6" w:tplc="1CFAEF22" w:tentative="1">
      <w:start w:val="1"/>
      <w:numFmt w:val="bullet"/>
      <w:lvlText w:val=""/>
      <w:lvlJc w:val="left"/>
      <w:pPr>
        <w:tabs>
          <w:tab w:val="num" w:pos="5040"/>
        </w:tabs>
        <w:ind w:left="5040" w:hanging="360"/>
      </w:pPr>
      <w:rPr>
        <w:rFonts w:ascii="Wingdings" w:hAnsi="Wingdings" w:hint="default"/>
      </w:rPr>
    </w:lvl>
    <w:lvl w:ilvl="7" w:tplc="A1A00B30" w:tentative="1">
      <w:start w:val="1"/>
      <w:numFmt w:val="bullet"/>
      <w:lvlText w:val=""/>
      <w:lvlJc w:val="left"/>
      <w:pPr>
        <w:tabs>
          <w:tab w:val="num" w:pos="5760"/>
        </w:tabs>
        <w:ind w:left="5760" w:hanging="360"/>
      </w:pPr>
      <w:rPr>
        <w:rFonts w:ascii="Wingdings" w:hAnsi="Wingdings" w:hint="default"/>
      </w:rPr>
    </w:lvl>
    <w:lvl w:ilvl="8" w:tplc="AF12E9C2" w:tentative="1">
      <w:start w:val="1"/>
      <w:numFmt w:val="bullet"/>
      <w:lvlText w:val=""/>
      <w:lvlJc w:val="left"/>
      <w:pPr>
        <w:tabs>
          <w:tab w:val="num" w:pos="6480"/>
        </w:tabs>
        <w:ind w:left="6480" w:hanging="360"/>
      </w:pPr>
      <w:rPr>
        <w:rFonts w:ascii="Wingdings" w:hAnsi="Wingdings" w:hint="default"/>
      </w:rPr>
    </w:lvl>
  </w:abstractNum>
  <w:abstractNum w:abstractNumId="10">
    <w:nsid w:val="37F736E7"/>
    <w:multiLevelType w:val="hybridMultilevel"/>
    <w:tmpl w:val="A87063AC"/>
    <w:lvl w:ilvl="0" w:tplc="2598B1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3174D8"/>
    <w:multiLevelType w:val="hybridMultilevel"/>
    <w:tmpl w:val="A13C2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C7723E"/>
    <w:multiLevelType w:val="multilevel"/>
    <w:tmpl w:val="ED96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3554DC"/>
    <w:multiLevelType w:val="hybridMultilevel"/>
    <w:tmpl w:val="74D6B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52D5A3E"/>
    <w:multiLevelType w:val="hybridMultilevel"/>
    <w:tmpl w:val="6D060476"/>
    <w:lvl w:ilvl="0" w:tplc="6836706C">
      <w:start w:val="1"/>
      <w:numFmt w:val="decimal"/>
      <w:lvlText w:val="%1."/>
      <w:lvlJc w:val="left"/>
      <w:pPr>
        <w:tabs>
          <w:tab w:val="num" w:pos="720"/>
        </w:tabs>
        <w:ind w:left="720" w:hanging="360"/>
      </w:pPr>
    </w:lvl>
    <w:lvl w:ilvl="1" w:tplc="6DFCBB24" w:tentative="1">
      <w:start w:val="1"/>
      <w:numFmt w:val="decimal"/>
      <w:lvlText w:val="%2."/>
      <w:lvlJc w:val="left"/>
      <w:pPr>
        <w:tabs>
          <w:tab w:val="num" w:pos="1440"/>
        </w:tabs>
        <w:ind w:left="1440" w:hanging="360"/>
      </w:pPr>
    </w:lvl>
    <w:lvl w:ilvl="2" w:tplc="E6DACAEC" w:tentative="1">
      <w:start w:val="1"/>
      <w:numFmt w:val="decimal"/>
      <w:lvlText w:val="%3."/>
      <w:lvlJc w:val="left"/>
      <w:pPr>
        <w:tabs>
          <w:tab w:val="num" w:pos="2160"/>
        </w:tabs>
        <w:ind w:left="2160" w:hanging="360"/>
      </w:pPr>
    </w:lvl>
    <w:lvl w:ilvl="3" w:tplc="3C6EBB96" w:tentative="1">
      <w:start w:val="1"/>
      <w:numFmt w:val="decimal"/>
      <w:lvlText w:val="%4."/>
      <w:lvlJc w:val="left"/>
      <w:pPr>
        <w:tabs>
          <w:tab w:val="num" w:pos="2880"/>
        </w:tabs>
        <w:ind w:left="2880" w:hanging="360"/>
      </w:pPr>
    </w:lvl>
    <w:lvl w:ilvl="4" w:tplc="E37EEE8E" w:tentative="1">
      <w:start w:val="1"/>
      <w:numFmt w:val="decimal"/>
      <w:lvlText w:val="%5."/>
      <w:lvlJc w:val="left"/>
      <w:pPr>
        <w:tabs>
          <w:tab w:val="num" w:pos="3600"/>
        </w:tabs>
        <w:ind w:left="3600" w:hanging="360"/>
      </w:pPr>
    </w:lvl>
    <w:lvl w:ilvl="5" w:tplc="5A1C7402" w:tentative="1">
      <w:start w:val="1"/>
      <w:numFmt w:val="decimal"/>
      <w:lvlText w:val="%6."/>
      <w:lvlJc w:val="left"/>
      <w:pPr>
        <w:tabs>
          <w:tab w:val="num" w:pos="4320"/>
        </w:tabs>
        <w:ind w:left="4320" w:hanging="360"/>
      </w:pPr>
    </w:lvl>
    <w:lvl w:ilvl="6" w:tplc="E3E2D4A0" w:tentative="1">
      <w:start w:val="1"/>
      <w:numFmt w:val="decimal"/>
      <w:lvlText w:val="%7."/>
      <w:lvlJc w:val="left"/>
      <w:pPr>
        <w:tabs>
          <w:tab w:val="num" w:pos="5040"/>
        </w:tabs>
        <w:ind w:left="5040" w:hanging="360"/>
      </w:pPr>
    </w:lvl>
    <w:lvl w:ilvl="7" w:tplc="A2229A80" w:tentative="1">
      <w:start w:val="1"/>
      <w:numFmt w:val="decimal"/>
      <w:lvlText w:val="%8."/>
      <w:lvlJc w:val="left"/>
      <w:pPr>
        <w:tabs>
          <w:tab w:val="num" w:pos="5760"/>
        </w:tabs>
        <w:ind w:left="5760" w:hanging="360"/>
      </w:pPr>
    </w:lvl>
    <w:lvl w:ilvl="8" w:tplc="C94C0498" w:tentative="1">
      <w:start w:val="1"/>
      <w:numFmt w:val="decimal"/>
      <w:lvlText w:val="%9."/>
      <w:lvlJc w:val="left"/>
      <w:pPr>
        <w:tabs>
          <w:tab w:val="num" w:pos="6480"/>
        </w:tabs>
        <w:ind w:left="6480" w:hanging="360"/>
      </w:pPr>
    </w:lvl>
  </w:abstractNum>
  <w:abstractNum w:abstractNumId="15">
    <w:nsid w:val="56DF6A2E"/>
    <w:multiLevelType w:val="hybridMultilevel"/>
    <w:tmpl w:val="7C02D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8C366D4"/>
    <w:multiLevelType w:val="hybridMultilevel"/>
    <w:tmpl w:val="61E60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7358D2"/>
    <w:multiLevelType w:val="hybridMultilevel"/>
    <w:tmpl w:val="98D489DE"/>
    <w:lvl w:ilvl="0" w:tplc="871E2424">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6BE16C2F"/>
    <w:multiLevelType w:val="hybridMultilevel"/>
    <w:tmpl w:val="3F38C5C6"/>
    <w:lvl w:ilvl="0" w:tplc="8934F24C">
      <w:start w:val="1"/>
      <w:numFmt w:val="bullet"/>
      <w:pStyle w:val="OdrkovseznamHTML"/>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D9B25CC"/>
    <w:multiLevelType w:val="hybridMultilevel"/>
    <w:tmpl w:val="9F505AB6"/>
    <w:lvl w:ilvl="0" w:tplc="04050001">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B372F96"/>
    <w:multiLevelType w:val="hybridMultilevel"/>
    <w:tmpl w:val="7F38F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D2A1571"/>
    <w:multiLevelType w:val="hybridMultilevel"/>
    <w:tmpl w:val="87EAB014"/>
    <w:lvl w:ilvl="0" w:tplc="5E32FBD8">
      <w:start w:val="1"/>
      <w:numFmt w:val="decimal"/>
      <w:lvlText w:val="%1."/>
      <w:lvlJc w:val="left"/>
      <w:pPr>
        <w:tabs>
          <w:tab w:val="num" w:pos="720"/>
        </w:tabs>
        <w:ind w:left="720" w:hanging="360"/>
      </w:pPr>
    </w:lvl>
    <w:lvl w:ilvl="1" w:tplc="34260F38" w:tentative="1">
      <w:start w:val="1"/>
      <w:numFmt w:val="decimal"/>
      <w:lvlText w:val="%2."/>
      <w:lvlJc w:val="left"/>
      <w:pPr>
        <w:tabs>
          <w:tab w:val="num" w:pos="1440"/>
        </w:tabs>
        <w:ind w:left="1440" w:hanging="360"/>
      </w:pPr>
    </w:lvl>
    <w:lvl w:ilvl="2" w:tplc="4778405A" w:tentative="1">
      <w:start w:val="1"/>
      <w:numFmt w:val="decimal"/>
      <w:lvlText w:val="%3."/>
      <w:lvlJc w:val="left"/>
      <w:pPr>
        <w:tabs>
          <w:tab w:val="num" w:pos="2160"/>
        </w:tabs>
        <w:ind w:left="2160" w:hanging="360"/>
      </w:pPr>
    </w:lvl>
    <w:lvl w:ilvl="3" w:tplc="190E6E5E" w:tentative="1">
      <w:start w:val="1"/>
      <w:numFmt w:val="decimal"/>
      <w:lvlText w:val="%4."/>
      <w:lvlJc w:val="left"/>
      <w:pPr>
        <w:tabs>
          <w:tab w:val="num" w:pos="2880"/>
        </w:tabs>
        <w:ind w:left="2880" w:hanging="360"/>
      </w:pPr>
    </w:lvl>
    <w:lvl w:ilvl="4" w:tplc="A6B8940C" w:tentative="1">
      <w:start w:val="1"/>
      <w:numFmt w:val="decimal"/>
      <w:lvlText w:val="%5."/>
      <w:lvlJc w:val="left"/>
      <w:pPr>
        <w:tabs>
          <w:tab w:val="num" w:pos="3600"/>
        </w:tabs>
        <w:ind w:left="3600" w:hanging="360"/>
      </w:pPr>
    </w:lvl>
    <w:lvl w:ilvl="5" w:tplc="2FDA37BA" w:tentative="1">
      <w:start w:val="1"/>
      <w:numFmt w:val="decimal"/>
      <w:lvlText w:val="%6."/>
      <w:lvlJc w:val="left"/>
      <w:pPr>
        <w:tabs>
          <w:tab w:val="num" w:pos="4320"/>
        </w:tabs>
        <w:ind w:left="4320" w:hanging="360"/>
      </w:pPr>
    </w:lvl>
    <w:lvl w:ilvl="6" w:tplc="60C6E806" w:tentative="1">
      <w:start w:val="1"/>
      <w:numFmt w:val="decimal"/>
      <w:lvlText w:val="%7."/>
      <w:lvlJc w:val="left"/>
      <w:pPr>
        <w:tabs>
          <w:tab w:val="num" w:pos="5040"/>
        </w:tabs>
        <w:ind w:left="5040" w:hanging="360"/>
      </w:pPr>
    </w:lvl>
    <w:lvl w:ilvl="7" w:tplc="D798654E" w:tentative="1">
      <w:start w:val="1"/>
      <w:numFmt w:val="decimal"/>
      <w:lvlText w:val="%8."/>
      <w:lvlJc w:val="left"/>
      <w:pPr>
        <w:tabs>
          <w:tab w:val="num" w:pos="5760"/>
        </w:tabs>
        <w:ind w:left="5760" w:hanging="360"/>
      </w:pPr>
    </w:lvl>
    <w:lvl w:ilvl="8" w:tplc="FC5E427C" w:tentative="1">
      <w:start w:val="1"/>
      <w:numFmt w:val="decimal"/>
      <w:lvlText w:val="%9."/>
      <w:lvlJc w:val="left"/>
      <w:pPr>
        <w:tabs>
          <w:tab w:val="num" w:pos="6480"/>
        </w:tabs>
        <w:ind w:left="6480" w:hanging="360"/>
      </w:pPr>
    </w:lvl>
  </w:abstractNum>
  <w:num w:numId="1">
    <w:abstractNumId w:val="17"/>
  </w:num>
  <w:num w:numId="2">
    <w:abstractNumId w:val="9"/>
  </w:num>
  <w:num w:numId="3">
    <w:abstractNumId w:val="6"/>
  </w:num>
  <w:num w:numId="4">
    <w:abstractNumId w:val="14"/>
  </w:num>
  <w:num w:numId="5">
    <w:abstractNumId w:val="21"/>
  </w:num>
  <w:num w:numId="6">
    <w:abstractNumId w:val="2"/>
  </w:num>
  <w:num w:numId="7">
    <w:abstractNumId w:val="0"/>
  </w:num>
  <w:num w:numId="8">
    <w:abstractNumId w:val="7"/>
  </w:num>
  <w:num w:numId="9">
    <w:abstractNumId w:val="19"/>
  </w:num>
  <w:num w:numId="10">
    <w:abstractNumId w:val="12"/>
  </w:num>
  <w:num w:numId="11">
    <w:abstractNumId w:val="5"/>
  </w:num>
  <w:num w:numId="12">
    <w:abstractNumId w:val="15"/>
  </w:num>
  <w:num w:numId="13">
    <w:abstractNumId w:val="1"/>
  </w:num>
  <w:num w:numId="14">
    <w:abstractNumId w:val="4"/>
  </w:num>
  <w:num w:numId="15">
    <w:abstractNumId w:val="8"/>
  </w:num>
  <w:num w:numId="16">
    <w:abstractNumId w:val="20"/>
  </w:num>
  <w:num w:numId="17">
    <w:abstractNumId w:val="13"/>
  </w:num>
  <w:num w:numId="18">
    <w:abstractNumId w:val="11"/>
  </w:num>
  <w:num w:numId="19">
    <w:abstractNumId w:val="18"/>
  </w:num>
  <w:num w:numId="20">
    <w:abstractNumId w:val="3"/>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02F50"/>
    <w:rsid w:val="0002583E"/>
    <w:rsid w:val="00053A0F"/>
    <w:rsid w:val="0007144E"/>
    <w:rsid w:val="000B7170"/>
    <w:rsid w:val="000C79BB"/>
    <w:rsid w:val="000F766C"/>
    <w:rsid w:val="00133957"/>
    <w:rsid w:val="001351C5"/>
    <w:rsid w:val="00142E13"/>
    <w:rsid w:val="0015349A"/>
    <w:rsid w:val="001874C5"/>
    <w:rsid w:val="001C44A1"/>
    <w:rsid w:val="001C462A"/>
    <w:rsid w:val="001C4695"/>
    <w:rsid w:val="00257E66"/>
    <w:rsid w:val="002B4A6D"/>
    <w:rsid w:val="002D6255"/>
    <w:rsid w:val="002F2C72"/>
    <w:rsid w:val="00315ADF"/>
    <w:rsid w:val="00351319"/>
    <w:rsid w:val="003772BC"/>
    <w:rsid w:val="003B6C3A"/>
    <w:rsid w:val="004042CA"/>
    <w:rsid w:val="00461F7D"/>
    <w:rsid w:val="0048727E"/>
    <w:rsid w:val="004D48AD"/>
    <w:rsid w:val="00521422"/>
    <w:rsid w:val="005746C5"/>
    <w:rsid w:val="005E097C"/>
    <w:rsid w:val="005E4A49"/>
    <w:rsid w:val="006117E0"/>
    <w:rsid w:val="00622457"/>
    <w:rsid w:val="0063579E"/>
    <w:rsid w:val="0068340F"/>
    <w:rsid w:val="00694D66"/>
    <w:rsid w:val="00770B46"/>
    <w:rsid w:val="007814B7"/>
    <w:rsid w:val="007977F9"/>
    <w:rsid w:val="007C0EAA"/>
    <w:rsid w:val="007D1EAF"/>
    <w:rsid w:val="007D77E1"/>
    <w:rsid w:val="00807E60"/>
    <w:rsid w:val="00815274"/>
    <w:rsid w:val="008E4AF5"/>
    <w:rsid w:val="009072E0"/>
    <w:rsid w:val="00946921"/>
    <w:rsid w:val="00954502"/>
    <w:rsid w:val="009727C2"/>
    <w:rsid w:val="009B5ECB"/>
    <w:rsid w:val="009F0354"/>
    <w:rsid w:val="00A67493"/>
    <w:rsid w:val="00AB3A7D"/>
    <w:rsid w:val="00AB5AF8"/>
    <w:rsid w:val="00AF75CE"/>
    <w:rsid w:val="00B208F2"/>
    <w:rsid w:val="00B25856"/>
    <w:rsid w:val="00B271D5"/>
    <w:rsid w:val="00B627D3"/>
    <w:rsid w:val="00B86B2E"/>
    <w:rsid w:val="00B90DEE"/>
    <w:rsid w:val="00B95D6F"/>
    <w:rsid w:val="00BC33D3"/>
    <w:rsid w:val="00BC62F6"/>
    <w:rsid w:val="00BE7309"/>
    <w:rsid w:val="00C04B0A"/>
    <w:rsid w:val="00C06A47"/>
    <w:rsid w:val="00C10E20"/>
    <w:rsid w:val="00C32F3D"/>
    <w:rsid w:val="00C44D06"/>
    <w:rsid w:val="00C831A5"/>
    <w:rsid w:val="00CC7484"/>
    <w:rsid w:val="00D1246C"/>
    <w:rsid w:val="00D257BA"/>
    <w:rsid w:val="00D5306F"/>
    <w:rsid w:val="00D75784"/>
    <w:rsid w:val="00D97A10"/>
    <w:rsid w:val="00DF7418"/>
    <w:rsid w:val="00E07D29"/>
    <w:rsid w:val="00E41741"/>
    <w:rsid w:val="00E610FE"/>
    <w:rsid w:val="00F11911"/>
    <w:rsid w:val="00F568B8"/>
    <w:rsid w:val="00F644BD"/>
    <w:rsid w:val="00FE0E9B"/>
    <w:rsid w:val="00FE4740"/>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99"/>
    <w:qFormat/>
    <w:rsid w:val="00D5306F"/>
    <w:pPr>
      <w:spacing w:after="0" w:line="240" w:lineRule="auto"/>
      <w:ind w:left="708"/>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02F50"/>
    <w:rPr>
      <w:color w:val="0000FF" w:themeColor="hyperlink"/>
      <w:u w:val="single"/>
    </w:rPr>
  </w:style>
  <w:style w:type="paragraph" w:customStyle="1" w:styleId="uroven11">
    <w:name w:val="uroven 1.1"/>
    <w:basedOn w:val="Normln"/>
    <w:rsid w:val="00622457"/>
    <w:pPr>
      <w:tabs>
        <w:tab w:val="left" w:pos="567"/>
      </w:tabs>
      <w:spacing w:after="0" w:line="240" w:lineRule="auto"/>
      <w:ind w:left="540" w:hanging="540"/>
    </w:pPr>
    <w:rPr>
      <w:rFonts w:ascii="Times New Roman" w:eastAsia="Times New Roman" w:hAnsi="Times New Roman" w:cs="Times New Roman"/>
      <w:b/>
      <w:bCs/>
      <w:szCs w:val="24"/>
      <w:lang w:eastAsia="cs-CZ"/>
    </w:rPr>
  </w:style>
  <w:style w:type="paragraph" w:customStyle="1" w:styleId="OdrkovseznamHTML">
    <w:name w:val="Odrážkový seznam HTML"/>
    <w:basedOn w:val="Normln"/>
    <w:rsid w:val="00622457"/>
    <w:pPr>
      <w:numPr>
        <w:numId w:val="19"/>
      </w:numPr>
      <w:spacing w:before="40" w:after="40" w:line="240" w:lineRule="auto"/>
    </w:pPr>
    <w:rPr>
      <w:rFonts w:ascii="Times New Roman" w:eastAsia="Times New Roman" w:hAnsi="Times New Roman" w:cs="Times New Roman"/>
      <w:sz w:val="24"/>
      <w:szCs w:val="24"/>
      <w:lang w:eastAsia="cs-CZ"/>
    </w:rPr>
  </w:style>
  <w:style w:type="character" w:styleId="Zvraznn">
    <w:name w:val="Emphasis"/>
    <w:qFormat/>
    <w:rsid w:val="00622457"/>
    <w:rPr>
      <w:i/>
      <w:iCs/>
    </w:rPr>
  </w:style>
  <w:style w:type="paragraph" w:styleId="Normlnweb">
    <w:name w:val="Normal (Web)"/>
    <w:basedOn w:val="Normln"/>
    <w:semiHidden/>
    <w:rsid w:val="0062245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99"/>
    <w:qFormat/>
    <w:rsid w:val="00D5306F"/>
    <w:pPr>
      <w:spacing w:after="0" w:line="240" w:lineRule="auto"/>
      <w:ind w:left="708"/>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02F50"/>
    <w:rPr>
      <w:color w:val="0000FF" w:themeColor="hyperlink"/>
      <w:u w:val="single"/>
    </w:rPr>
  </w:style>
  <w:style w:type="paragraph" w:customStyle="1" w:styleId="uroven11">
    <w:name w:val="uroven 1.1"/>
    <w:basedOn w:val="Normln"/>
    <w:rsid w:val="00622457"/>
    <w:pPr>
      <w:tabs>
        <w:tab w:val="left" w:pos="567"/>
      </w:tabs>
      <w:spacing w:after="0" w:line="240" w:lineRule="auto"/>
      <w:ind w:left="540" w:hanging="540"/>
    </w:pPr>
    <w:rPr>
      <w:rFonts w:ascii="Times New Roman" w:eastAsia="Times New Roman" w:hAnsi="Times New Roman" w:cs="Times New Roman"/>
      <w:b/>
      <w:bCs/>
      <w:szCs w:val="24"/>
      <w:lang w:eastAsia="cs-CZ"/>
    </w:rPr>
  </w:style>
  <w:style w:type="paragraph" w:customStyle="1" w:styleId="OdrkovseznamHTML">
    <w:name w:val="Odrážkový seznam HTML"/>
    <w:basedOn w:val="Normln"/>
    <w:rsid w:val="00622457"/>
    <w:pPr>
      <w:numPr>
        <w:numId w:val="19"/>
      </w:numPr>
      <w:spacing w:before="40" w:after="40" w:line="240" w:lineRule="auto"/>
    </w:pPr>
    <w:rPr>
      <w:rFonts w:ascii="Times New Roman" w:eastAsia="Times New Roman" w:hAnsi="Times New Roman" w:cs="Times New Roman"/>
      <w:sz w:val="24"/>
      <w:szCs w:val="24"/>
      <w:lang w:eastAsia="cs-CZ"/>
    </w:rPr>
  </w:style>
  <w:style w:type="character" w:styleId="Zvraznn">
    <w:name w:val="Emphasis"/>
    <w:qFormat/>
    <w:rsid w:val="00622457"/>
    <w:rPr>
      <w:i/>
      <w:iCs/>
    </w:rPr>
  </w:style>
  <w:style w:type="paragraph" w:styleId="Normlnweb">
    <w:name w:val="Normal (Web)"/>
    <w:basedOn w:val="Normln"/>
    <w:semiHidden/>
    <w:rsid w:val="0062245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13677">
      <w:bodyDiv w:val="1"/>
      <w:marLeft w:val="0"/>
      <w:marRight w:val="0"/>
      <w:marTop w:val="0"/>
      <w:marBottom w:val="0"/>
      <w:divBdr>
        <w:top w:val="none" w:sz="0" w:space="0" w:color="auto"/>
        <w:left w:val="none" w:sz="0" w:space="0" w:color="auto"/>
        <w:bottom w:val="none" w:sz="0" w:space="0" w:color="auto"/>
        <w:right w:val="none" w:sz="0" w:space="0" w:color="auto"/>
      </w:divBdr>
      <w:divsChild>
        <w:div w:id="1277057198">
          <w:marLeft w:val="806"/>
          <w:marRight w:val="0"/>
          <w:marTop w:val="115"/>
          <w:marBottom w:val="0"/>
          <w:divBdr>
            <w:top w:val="none" w:sz="0" w:space="0" w:color="auto"/>
            <w:left w:val="none" w:sz="0" w:space="0" w:color="auto"/>
            <w:bottom w:val="none" w:sz="0" w:space="0" w:color="auto"/>
            <w:right w:val="none" w:sz="0" w:space="0" w:color="auto"/>
          </w:divBdr>
        </w:div>
      </w:divsChild>
    </w:div>
    <w:div w:id="969357872">
      <w:bodyDiv w:val="1"/>
      <w:marLeft w:val="0"/>
      <w:marRight w:val="0"/>
      <w:marTop w:val="0"/>
      <w:marBottom w:val="0"/>
      <w:divBdr>
        <w:top w:val="none" w:sz="0" w:space="0" w:color="auto"/>
        <w:left w:val="none" w:sz="0" w:space="0" w:color="auto"/>
        <w:bottom w:val="none" w:sz="0" w:space="0" w:color="auto"/>
        <w:right w:val="none" w:sz="0" w:space="0" w:color="auto"/>
      </w:divBdr>
      <w:divsChild>
        <w:div w:id="504177237">
          <w:marLeft w:val="547"/>
          <w:marRight w:val="0"/>
          <w:marTop w:val="96"/>
          <w:marBottom w:val="0"/>
          <w:divBdr>
            <w:top w:val="none" w:sz="0" w:space="0" w:color="auto"/>
            <w:left w:val="none" w:sz="0" w:space="0" w:color="auto"/>
            <w:bottom w:val="none" w:sz="0" w:space="0" w:color="auto"/>
            <w:right w:val="none" w:sz="0" w:space="0" w:color="auto"/>
          </w:divBdr>
        </w:div>
      </w:divsChild>
    </w:div>
    <w:div w:id="1981494378">
      <w:bodyDiv w:val="1"/>
      <w:marLeft w:val="0"/>
      <w:marRight w:val="0"/>
      <w:marTop w:val="0"/>
      <w:marBottom w:val="0"/>
      <w:divBdr>
        <w:top w:val="none" w:sz="0" w:space="0" w:color="auto"/>
        <w:left w:val="none" w:sz="0" w:space="0" w:color="auto"/>
        <w:bottom w:val="none" w:sz="0" w:space="0" w:color="auto"/>
        <w:right w:val="none" w:sz="0" w:space="0" w:color="auto"/>
      </w:divBdr>
      <w:divsChild>
        <w:div w:id="161628568">
          <w:marLeft w:val="547"/>
          <w:marRight w:val="0"/>
          <w:marTop w:val="96"/>
          <w:marBottom w:val="0"/>
          <w:divBdr>
            <w:top w:val="none" w:sz="0" w:space="0" w:color="auto"/>
            <w:left w:val="none" w:sz="0" w:space="0" w:color="auto"/>
            <w:bottom w:val="none" w:sz="0" w:space="0" w:color="auto"/>
            <w:right w:val="none" w:sz="0" w:space="0" w:color="auto"/>
          </w:divBdr>
        </w:div>
        <w:div w:id="2057047068">
          <w:marLeft w:val="547"/>
          <w:marRight w:val="0"/>
          <w:marTop w:val="96"/>
          <w:marBottom w:val="0"/>
          <w:divBdr>
            <w:top w:val="none" w:sz="0" w:space="0" w:color="auto"/>
            <w:left w:val="none" w:sz="0" w:space="0" w:color="auto"/>
            <w:bottom w:val="none" w:sz="0" w:space="0" w:color="auto"/>
            <w:right w:val="none" w:sz="0" w:space="0" w:color="auto"/>
          </w:divBdr>
        </w:div>
        <w:div w:id="1790928269">
          <w:marLeft w:val="547"/>
          <w:marRight w:val="0"/>
          <w:marTop w:val="96"/>
          <w:marBottom w:val="0"/>
          <w:divBdr>
            <w:top w:val="none" w:sz="0" w:space="0" w:color="auto"/>
            <w:left w:val="none" w:sz="0" w:space="0" w:color="auto"/>
            <w:bottom w:val="none" w:sz="0" w:space="0" w:color="auto"/>
            <w:right w:val="none" w:sz="0" w:space="0" w:color="auto"/>
          </w:divBdr>
        </w:div>
      </w:divsChild>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07311">
      <w:bodyDiv w:val="1"/>
      <w:marLeft w:val="0"/>
      <w:marRight w:val="0"/>
      <w:marTop w:val="0"/>
      <w:marBottom w:val="0"/>
      <w:divBdr>
        <w:top w:val="none" w:sz="0" w:space="0" w:color="auto"/>
        <w:left w:val="none" w:sz="0" w:space="0" w:color="auto"/>
        <w:bottom w:val="none" w:sz="0" w:space="0" w:color="auto"/>
        <w:right w:val="none" w:sz="0" w:space="0" w:color="auto"/>
      </w:divBdr>
      <w:divsChild>
        <w:div w:id="473718467">
          <w:marLeft w:val="720"/>
          <w:marRight w:val="0"/>
          <w:marTop w:val="115"/>
          <w:marBottom w:val="0"/>
          <w:divBdr>
            <w:top w:val="none" w:sz="0" w:space="0" w:color="auto"/>
            <w:left w:val="none" w:sz="0" w:space="0" w:color="auto"/>
            <w:bottom w:val="none" w:sz="0" w:space="0" w:color="auto"/>
            <w:right w:val="none" w:sz="0" w:space="0" w:color="auto"/>
          </w:divBdr>
        </w:div>
        <w:div w:id="359355787">
          <w:marLeft w:val="720"/>
          <w:marRight w:val="0"/>
          <w:marTop w:val="115"/>
          <w:marBottom w:val="0"/>
          <w:divBdr>
            <w:top w:val="none" w:sz="0" w:space="0" w:color="auto"/>
            <w:left w:val="none" w:sz="0" w:space="0" w:color="auto"/>
            <w:bottom w:val="none" w:sz="0" w:space="0" w:color="auto"/>
            <w:right w:val="none" w:sz="0" w:space="0" w:color="auto"/>
          </w:divBdr>
        </w:div>
        <w:div w:id="1400513599">
          <w:marLeft w:val="720"/>
          <w:marRight w:val="0"/>
          <w:marTop w:val="115"/>
          <w:marBottom w:val="0"/>
          <w:divBdr>
            <w:top w:val="none" w:sz="0" w:space="0" w:color="auto"/>
            <w:left w:val="none" w:sz="0" w:space="0" w:color="auto"/>
            <w:bottom w:val="none" w:sz="0" w:space="0" w:color="auto"/>
            <w:right w:val="none" w:sz="0" w:space="0" w:color="auto"/>
          </w:divBdr>
        </w:div>
        <w:div w:id="640159090">
          <w:marLeft w:val="720"/>
          <w:marRight w:val="0"/>
          <w:marTop w:val="115"/>
          <w:marBottom w:val="0"/>
          <w:divBdr>
            <w:top w:val="none" w:sz="0" w:space="0" w:color="auto"/>
            <w:left w:val="none" w:sz="0" w:space="0" w:color="auto"/>
            <w:bottom w:val="none" w:sz="0" w:space="0" w:color="auto"/>
            <w:right w:val="none" w:sz="0" w:space="0" w:color="auto"/>
          </w:divBdr>
        </w:div>
        <w:div w:id="391734983">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zv.cz" TargetMode="External"/><Relationship Id="rId18" Type="http://schemas.openxmlformats.org/officeDocument/2006/relationships/hyperlink" Target="http://www.hbsc.upol.cz" TargetMode="External"/><Relationship Id="rId26" Type="http://schemas.openxmlformats.org/officeDocument/2006/relationships/hyperlink" Target="http://www.vyzivaspol.cz" TargetMode="External"/><Relationship Id="rId3" Type="http://schemas.microsoft.com/office/2007/relationships/stylesWithEffects" Target="stylesWithEffects.xml"/><Relationship Id="rId21" Type="http://schemas.openxmlformats.org/officeDocument/2006/relationships/hyperlink" Target="http://www.stob.cz" TargetMode="External"/><Relationship Id="rId7" Type="http://schemas.openxmlformats.org/officeDocument/2006/relationships/endnotes" Target="endnotes.xml"/><Relationship Id="rId12" Type="http://schemas.openxmlformats.org/officeDocument/2006/relationships/image" Target="http://www.bezpecnostpotravin.cz/UserFiles/plakaty/fzv_pyramida.png" TargetMode="External"/><Relationship Id="rId17" Type="http://schemas.openxmlformats.org/officeDocument/2006/relationships/hyperlink" Target="http://www.google.cz/search" TargetMode="External"/><Relationship Id="rId25" Type="http://schemas.openxmlformats.org/officeDocument/2006/relationships/hyperlink" Target="http://www.vyzivadeti.c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zv.cz" TargetMode="External"/><Relationship Id="rId20" Type="http://schemas.openxmlformats.org/officeDocument/2006/relationships/hyperlink" Target="http://www.msmt.cz" TargetMode="External"/><Relationship Id="rId29" Type="http://schemas.openxmlformats.org/officeDocument/2006/relationships/hyperlink" Target="http://www.zdrava5.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vychova"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nabell.cz" TargetMode="External"/><Relationship Id="rId23" Type="http://schemas.openxmlformats.org/officeDocument/2006/relationships/hyperlink" Target="http://www.viscojis.cz" TargetMode="External"/><Relationship Id="rId28" Type="http://schemas.openxmlformats.org/officeDocument/2006/relationships/hyperlink" Target="http://www.zdravaabeceda.cz" TargetMode="External"/><Relationship Id="rId10" Type="http://schemas.openxmlformats.org/officeDocument/2006/relationships/hyperlink" Target="http://www.fzv.cz" TargetMode="External"/><Relationship Id="rId19" Type="http://schemas.openxmlformats.org/officeDocument/2006/relationships/hyperlink" Target="http://www.hravezijzdrave.c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bsc.upol.cz" TargetMode="External"/><Relationship Id="rId14" Type="http://schemas.openxmlformats.org/officeDocument/2006/relationships/hyperlink" Target="http://www.msmt.cz/file/28077" TargetMode="External"/><Relationship Id="rId22" Type="http://schemas.openxmlformats.org/officeDocument/2006/relationships/hyperlink" Target="http://www.rvp.cz" TargetMode="External"/><Relationship Id="rId27" Type="http://schemas.openxmlformats.org/officeDocument/2006/relationships/hyperlink" Target="http://www.who.cz" TargetMode="External"/><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74994AD1C3414BB3437A6315654515"/>
        <w:category>
          <w:name w:val="Obecné"/>
          <w:gallery w:val="placeholder"/>
        </w:category>
        <w:types>
          <w:type w:val="bbPlcHdr"/>
        </w:types>
        <w:behaviors>
          <w:behavior w:val="content"/>
        </w:behaviors>
        <w:guid w:val="{8E79A76A-1957-4299-AE35-56F8C1E3D0A2}"/>
      </w:docPartPr>
      <w:docPartBody>
        <w:p w:rsidR="00F633C6" w:rsidRDefault="00FD7447" w:rsidP="00FD7447">
          <w:pPr>
            <w:pStyle w:val="AB74994AD1C3414BB3437A6315654515"/>
          </w:pPr>
          <w:r>
            <w:rPr>
              <w:color w:val="4F81BD" w:themeColor="accent1"/>
              <w:sz w:val="20"/>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yriadPro-It">
    <w:altName w:val="MS Gothic"/>
    <w:panose1 w:val="00000000000000000000"/>
    <w:charset w:val="80"/>
    <w:family w:val="swiss"/>
    <w:notTrueType/>
    <w:pitch w:val="default"/>
    <w:sig w:usb0="00000001" w:usb1="08070000" w:usb2="00000010" w:usb3="00000000" w:csb0="00020000" w:csb1="00000000"/>
  </w:font>
  <w:font w:name="Cambri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7"/>
    <w:rsid w:val="003554A3"/>
    <w:rsid w:val="00F633C6"/>
    <w:rsid w:val="00FD7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74994AD1C3414BB3437A6315654515">
    <w:name w:val="AB74994AD1C3414BB3437A6315654515"/>
    <w:rsid w:val="00FD7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74994AD1C3414BB3437A6315654515">
    <w:name w:val="AB74994AD1C3414BB3437A6315654515"/>
    <w:rsid w:val="00FD7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3589</Words>
  <Characters>21179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PdF UP Olomouc</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Hřivnová Michaela</cp:lastModifiedBy>
  <cp:revision>3</cp:revision>
  <dcterms:created xsi:type="dcterms:W3CDTF">2014-11-20T12:18:00Z</dcterms:created>
  <dcterms:modified xsi:type="dcterms:W3CDTF">2014-11-20T12:33:00Z</dcterms:modified>
</cp:coreProperties>
</file>