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DB" w:rsidRPr="00AE6855" w:rsidRDefault="005930DB" w:rsidP="005930DB">
      <w:pPr>
        <w:pStyle w:val="Nadpis1"/>
        <w:jc w:val="center"/>
        <w:rPr>
          <w:caps/>
        </w:rPr>
      </w:pPr>
      <w:r w:rsidRPr="00AE6855">
        <w:rPr>
          <w:caps/>
        </w:rPr>
        <w:t>Statut grantového fondu Děkana</w:t>
      </w:r>
    </w:p>
    <w:p w:rsidR="005930DB" w:rsidRPr="00AE6855" w:rsidRDefault="005930DB" w:rsidP="005930DB">
      <w:pPr>
        <w:jc w:val="center"/>
      </w:pPr>
      <w:r w:rsidRPr="00AE6855">
        <w:t>pro akademické pracovníky Pedagogické fakulty UP</w:t>
      </w:r>
    </w:p>
    <w:p w:rsidR="005930DB" w:rsidRPr="00AE6855" w:rsidRDefault="005930DB" w:rsidP="005930DB">
      <w:pPr>
        <w:spacing w:after="240"/>
      </w:pP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Účelem fondu je finanční podpora badatelské, publikační a tvůrčí aktivity akademických pracovníků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UP. Podpora je určena především projektům, které: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doplňují náročnější projekty podporované některou z grantových agentur,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jsou přípravou k podání náročnějších projektů u některé z grantových agentur, 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svou náročností splňují standardy původní vědecké nebo tvůrčí práce, ale vymykají se zadávací dokumentaci grantových agentur.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Podmínkou přidělení finančních prostředků je předložení projektu s </w:t>
      </w:r>
      <w:proofErr w:type="spellStart"/>
      <w:r w:rsidRPr="0060386C">
        <w:rPr>
          <w:rFonts w:ascii="Arial" w:hAnsi="Arial" w:cs="Arial"/>
          <w:sz w:val="22"/>
          <w:szCs w:val="22"/>
        </w:rPr>
        <w:t>bodovatelnými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výstupy (v </w:t>
      </w:r>
      <w:proofErr w:type="spellStart"/>
      <w:r w:rsidRPr="0060386C">
        <w:rPr>
          <w:rFonts w:ascii="Arial" w:hAnsi="Arial" w:cs="Arial"/>
          <w:sz w:val="22"/>
          <w:szCs w:val="22"/>
        </w:rPr>
        <w:t>RIVu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60386C">
        <w:rPr>
          <w:rFonts w:ascii="Arial" w:hAnsi="Arial" w:cs="Arial"/>
          <w:sz w:val="22"/>
          <w:szCs w:val="22"/>
        </w:rPr>
        <w:t>RUVu</w:t>
      </w:r>
      <w:proofErr w:type="spellEnd"/>
      <w:r w:rsidRPr="0060386C">
        <w:rPr>
          <w:rFonts w:ascii="Arial" w:hAnsi="Arial" w:cs="Arial"/>
          <w:sz w:val="22"/>
          <w:szCs w:val="22"/>
        </w:rPr>
        <w:t>).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Finanční prostředky přiděluje děkan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na základě doporučení hodnotící komise.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V případě, že spoluřešitelem je student prezenční formy DSP akreditovaného na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UP, může být žádáno o stipendium, které však není součástí rozpočtu, ale bude vypláceno (v případě schválení) ze stipendijního fondu.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Navrhovatel projektu předloží návrh projektu. Přihlášku je potřeba odevzdat elektronicky a v tištěné podobě na oddělení vědy a výzkumu. </w:t>
      </w:r>
      <w:r w:rsidRPr="0060386C">
        <w:rPr>
          <w:rFonts w:ascii="Arial" w:hAnsi="Arial" w:cs="Arial"/>
          <w:b/>
          <w:sz w:val="22"/>
          <w:szCs w:val="22"/>
        </w:rPr>
        <w:t xml:space="preserve">Termín podání přihlášek je poslední pracovní den ledna aktuálního kalendářního roku. </w:t>
      </w:r>
    </w:p>
    <w:p w:rsidR="005930DB" w:rsidRPr="0060386C" w:rsidRDefault="005930DB" w:rsidP="005930DB">
      <w:pPr>
        <w:pStyle w:val="Odstavecseseznamem"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Součástí předloženého návrhu projektu jsou tyto náležitosti: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a) anotace a cíle projektu </w:t>
      </w:r>
    </w:p>
    <w:p w:rsidR="005930DB" w:rsidRPr="0060386C" w:rsidRDefault="005930DB" w:rsidP="005930DB">
      <w:pPr>
        <w:spacing w:before="120"/>
        <w:ind w:left="567"/>
        <w:contextualSpacing w:val="0"/>
        <w:rPr>
          <w:rFonts w:cs="Arial"/>
          <w:sz w:val="22"/>
        </w:rPr>
      </w:pPr>
      <w:r w:rsidRPr="0060386C">
        <w:rPr>
          <w:rFonts w:cs="Arial"/>
          <w:sz w:val="22"/>
        </w:rPr>
        <w:t>b) údaje o řešiteli a dalších členech řešitelského týmu</w:t>
      </w:r>
      <w:r w:rsidR="0060386C">
        <w:rPr>
          <w:rFonts w:cs="Arial"/>
          <w:sz w:val="22"/>
        </w:rPr>
        <w:t xml:space="preserve"> </w:t>
      </w:r>
      <w:bookmarkStart w:id="0" w:name="_GoBack"/>
      <w:bookmarkEnd w:id="0"/>
      <w:r w:rsidRPr="0060386C">
        <w:rPr>
          <w:rFonts w:cs="Arial"/>
          <w:sz w:val="22"/>
        </w:rPr>
        <w:t xml:space="preserve">(včetně dosavadních tvůrčích výsledků za posledních 5 let) 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c) souhlas všech členů řešitelského týmu se spoluřešením projektu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d) plánované výzkumné aktivity a jejich očekávané výsledky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e) časový harmonogram řešení projektu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f) rozpočet požadovaných finančních prostředků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Za jedno pracoviště fakulty může být financován maximálně jeden projekt.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Předložené přihlášky posuzuje tříčlenná hodnotící komise, složená z proděkanky pro vědu, výzkum a doktorské studium a dvou akademických pracovníků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jmenovaných děkanem. Stejná komise hodnotí i závěrečné zprávy.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lastRenderedPageBreak/>
        <w:t>Základními kritérii hodnocení projektu jsou: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kvalita projektu s ohledem na jeho přínos ve vztahu k současnému stavu dané problematiky,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poměr navrhovaných nákladů k významnosti přislíbených výstupů,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důvěryhodnost příslibu dosažení cílů v době řešení,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přiměřenost a účelnost použití finančních prostředků.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Přislíbené výstupy musí být zrealizovány do konce příslušného kalendářního roku, v případě publikačních výstupů alespoň v podobě textu odevzdaného do redakce a potvrzeného redakcí o jeho přijetí k publikování. Odpovědnost za splnění závazků nese řešitel a jeho pracoviště. V případě, že v projektu slíbené nebude splněno, bude celá přidělená částka vrácena do rozpočtu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na úkor rozpočtu katedry nebo ústavu.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Řešitel grantu je povinen s přidělenými prostředky nakládat hospodárně v souladu s obecně závaznými právními předpisy a s vnitřními přepisy a normami UP.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 Grantová podpora může být poskytnuta pouze na způsobilé náklady, které mohou být vynaloženy na činnosti ve výzkumu, vývoji a inovacích, nebo v souvislosti s nimi, a to: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a) Součástí projektu mohou být finanční prostředky na odměnu řešitele (spoluřešitele) projektu max. výši 20% celkového rozpočtu. V případě, že se jedná o nového pracovníka, je možno nárokovat celou mzdu.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b) náklady nebo výdaje na pořízení hmotného majetku, přičemž lze do způsobilých nákladů zahrnout pouze takovou část nákladů na jeho pořízení, která odpovídá předpokládanému využití pro daný projekt. (Nelze pořizovat </w:t>
      </w:r>
      <w:proofErr w:type="spellStart"/>
      <w:r w:rsidRPr="0060386C">
        <w:rPr>
          <w:rFonts w:ascii="Arial" w:hAnsi="Arial" w:cs="Arial"/>
          <w:sz w:val="22"/>
          <w:szCs w:val="22"/>
        </w:rPr>
        <w:t>notebooy</w:t>
      </w:r>
      <w:proofErr w:type="spellEnd"/>
      <w:r w:rsidRPr="0060386C">
        <w:rPr>
          <w:rFonts w:ascii="Arial" w:hAnsi="Arial" w:cs="Arial"/>
          <w:sz w:val="22"/>
          <w:szCs w:val="22"/>
        </w:rPr>
        <w:t>, telefony, tablety a další kancelářskou techniku)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c) náklady nebo výdaje na pořízení nehmotného majetku, přičemž lze do způsobilých nákladů zahrnout pouze takovou část nákladů na jeho pořízení, která odpovídá předpokládanému využití pro daný projekt,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d) další provozní náklady nebo výdaje (včetně cestovného),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e) náklady nebo výdaje na služby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Finanční prostředky je možné ve zdůvodněných případech převádět v rámci projektu mezi jednotlivými rozpočtovými položkami max. do výše 5%. V případě převodu větší částky je třeba podat předem písemnou žádost.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Řešitel odpovídá </w:t>
      </w:r>
      <w:proofErr w:type="gramStart"/>
      <w:r w:rsidRPr="0060386C">
        <w:rPr>
          <w:rFonts w:ascii="Arial" w:hAnsi="Arial" w:cs="Arial"/>
          <w:sz w:val="22"/>
          <w:szCs w:val="22"/>
        </w:rPr>
        <w:t>za</w:t>
      </w:r>
      <w:proofErr w:type="gramEnd"/>
      <w:r w:rsidRPr="0060386C">
        <w:rPr>
          <w:rFonts w:ascii="Arial" w:hAnsi="Arial" w:cs="Arial"/>
          <w:sz w:val="22"/>
          <w:szCs w:val="22"/>
        </w:rPr>
        <w:t xml:space="preserve">: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a) uvedení odkazu na řešený projekt uvedením jeho registračního čísla v publikaci, která je výstupem projektu a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b) odevzdání informací o dosažených výsledcích do rejstříku informací o výsledcích (RIV) prostřednictvím vnitřního evidenčního systému UP (OBD).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Při uzavírání grantového projektu musí řešitel vypracovat závěrečnou zprávu. Jako přílohu závěrečné zprávy přiloží řešitel všechny relevantní výstupy. V závěrečné zprávě se řešitel vyjadřuje k výstupům a možnému využití výsledků řešeného projektu. Dále je součástí závěrečné zprávy komentář k vyúčtování přidělených finančních prostředků včetně výpisu ze </w:t>
      </w:r>
      <w:proofErr w:type="spellStart"/>
      <w:proofErr w:type="gramStart"/>
      <w:r w:rsidRPr="0060386C">
        <w:rPr>
          <w:rFonts w:ascii="Arial" w:hAnsi="Arial" w:cs="Arial"/>
          <w:sz w:val="22"/>
          <w:szCs w:val="22"/>
        </w:rPr>
        <w:t>SAPu</w:t>
      </w:r>
      <w:proofErr w:type="spellEnd"/>
      <w:proofErr w:type="gramEnd"/>
      <w:r w:rsidRPr="0060386C">
        <w:rPr>
          <w:rFonts w:ascii="Arial" w:hAnsi="Arial" w:cs="Arial"/>
          <w:sz w:val="22"/>
          <w:szCs w:val="22"/>
        </w:rPr>
        <w:t>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Přidělené finanční prostředky je nutno vyúčtovat nejpozději do 30. listopadu aktuálního kalendářního roku.  </w:t>
      </w:r>
      <w:r w:rsidRPr="0060386C">
        <w:rPr>
          <w:rFonts w:ascii="Arial" w:hAnsi="Arial" w:cs="Arial"/>
          <w:b/>
          <w:sz w:val="22"/>
          <w:szCs w:val="22"/>
        </w:rPr>
        <w:t xml:space="preserve">Závěrečnou zprávu projektu je nutno odevzdat nejpozději do 15. </w:t>
      </w:r>
      <w:r w:rsidR="0060386C" w:rsidRPr="0060386C">
        <w:rPr>
          <w:rFonts w:ascii="Arial" w:hAnsi="Arial" w:cs="Arial"/>
          <w:b/>
          <w:sz w:val="22"/>
          <w:szCs w:val="22"/>
        </w:rPr>
        <w:t>l</w:t>
      </w:r>
      <w:r w:rsidRPr="0060386C">
        <w:rPr>
          <w:rFonts w:ascii="Arial" w:hAnsi="Arial" w:cs="Arial"/>
          <w:b/>
          <w:sz w:val="22"/>
          <w:szCs w:val="22"/>
        </w:rPr>
        <w:t>edna následujícího kalendářního roku.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lastRenderedPageBreak/>
        <w:t xml:space="preserve">Na základě doporučení hodnotící komise schvaluje uzavření jednotlivých projektů děkan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Splnění cílů projektu po ukončení řešení se hodnotí stupni: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a) splnil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b) nesplnil</w:t>
      </w:r>
    </w:p>
    <w:p w:rsidR="005930DB" w:rsidRPr="0060386C" w:rsidRDefault="005930DB" w:rsidP="005930DB">
      <w:pPr>
        <w:spacing w:after="240"/>
        <w:rPr>
          <w:rFonts w:cs="Arial"/>
          <w:sz w:val="22"/>
        </w:rPr>
      </w:pPr>
    </w:p>
    <w:p w:rsidR="005930DB" w:rsidRPr="0060386C" w:rsidRDefault="005930DB" w:rsidP="005930DB">
      <w:pPr>
        <w:spacing w:after="240"/>
        <w:rPr>
          <w:rFonts w:cs="Arial"/>
          <w:sz w:val="22"/>
        </w:rPr>
      </w:pPr>
      <w:r w:rsidRPr="0060386C">
        <w:rPr>
          <w:rFonts w:cs="Arial"/>
          <w:sz w:val="22"/>
        </w:rPr>
        <w:t xml:space="preserve">V Olomouci dne </w:t>
      </w:r>
      <w:r w:rsidR="0060386C" w:rsidRPr="0060386C">
        <w:rPr>
          <w:rFonts w:cs="Arial"/>
          <w:sz w:val="22"/>
        </w:rPr>
        <w:t>5</w:t>
      </w:r>
      <w:r w:rsidRPr="0060386C">
        <w:rPr>
          <w:rFonts w:cs="Arial"/>
          <w:sz w:val="22"/>
        </w:rPr>
        <w:t>. prosince 201</w:t>
      </w:r>
      <w:r w:rsidR="0060386C" w:rsidRPr="0060386C">
        <w:rPr>
          <w:rFonts w:cs="Arial"/>
          <w:sz w:val="22"/>
        </w:rPr>
        <w:t>6</w:t>
      </w:r>
    </w:p>
    <w:p w:rsidR="005930DB" w:rsidRPr="0060386C" w:rsidRDefault="005930DB" w:rsidP="005930DB">
      <w:pPr>
        <w:jc w:val="right"/>
        <w:rPr>
          <w:rFonts w:cs="Arial"/>
          <w:sz w:val="22"/>
        </w:rPr>
      </w:pPr>
      <w:r w:rsidRPr="0060386C">
        <w:rPr>
          <w:rFonts w:cs="Arial"/>
          <w:sz w:val="22"/>
        </w:rPr>
        <w:t xml:space="preserve">Doc. Ing. Čestmír Serafín, Dr. </w:t>
      </w:r>
      <w:proofErr w:type="gramStart"/>
      <w:r w:rsidRPr="0060386C">
        <w:rPr>
          <w:rFonts w:cs="Arial"/>
          <w:sz w:val="22"/>
        </w:rPr>
        <w:t>v.r.</w:t>
      </w:r>
      <w:proofErr w:type="gramEnd"/>
    </w:p>
    <w:p w:rsidR="005930DB" w:rsidRPr="0060386C" w:rsidRDefault="005930DB" w:rsidP="005930DB">
      <w:pPr>
        <w:ind w:left="7080" w:firstLine="708"/>
        <w:rPr>
          <w:rFonts w:cs="Arial"/>
          <w:sz w:val="22"/>
        </w:rPr>
      </w:pPr>
      <w:r w:rsidRPr="0060386C">
        <w:rPr>
          <w:rFonts w:cs="Arial"/>
          <w:sz w:val="22"/>
        </w:rPr>
        <w:t xml:space="preserve">    děkan</w:t>
      </w:r>
    </w:p>
    <w:p w:rsidR="000863AC" w:rsidRPr="00B833E0" w:rsidRDefault="000863AC" w:rsidP="00B833E0"/>
    <w:sectPr w:rsidR="000863AC" w:rsidRPr="00B833E0" w:rsidSect="005930DB">
      <w:footerReference w:type="default" r:id="rId9"/>
      <w:headerReference w:type="first" r:id="rId10"/>
      <w:footerReference w:type="first" r:id="rId11"/>
      <w:pgSz w:w="11906" w:h="16838" w:code="9"/>
      <w:pgMar w:top="1276" w:right="1418" w:bottom="1843" w:left="1843" w:header="426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C9" w:rsidRDefault="00D755C9" w:rsidP="00F15613">
      <w:pPr>
        <w:spacing w:line="240" w:lineRule="auto"/>
      </w:pPr>
      <w:r>
        <w:separator/>
      </w:r>
    </w:p>
  </w:endnote>
  <w:endnote w:type="continuationSeparator" w:id="0">
    <w:p w:rsidR="00D755C9" w:rsidRDefault="00D755C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C9" w:rsidRDefault="00D755C9" w:rsidP="00F15613">
      <w:pPr>
        <w:spacing w:line="240" w:lineRule="auto"/>
      </w:pPr>
      <w:r>
        <w:separator/>
      </w:r>
    </w:p>
  </w:footnote>
  <w:footnote w:type="continuationSeparator" w:id="0">
    <w:p w:rsidR="00D755C9" w:rsidRDefault="00D755C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5930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68580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131"/>
    <w:multiLevelType w:val="hybridMultilevel"/>
    <w:tmpl w:val="468489A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1D3"/>
    <w:multiLevelType w:val="hybridMultilevel"/>
    <w:tmpl w:val="0D34C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C5C88"/>
    <w:multiLevelType w:val="hybridMultilevel"/>
    <w:tmpl w:val="33B87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430F25"/>
    <w:rsid w:val="00486300"/>
    <w:rsid w:val="004D171B"/>
    <w:rsid w:val="005029E3"/>
    <w:rsid w:val="00502BEF"/>
    <w:rsid w:val="00540537"/>
    <w:rsid w:val="005467DF"/>
    <w:rsid w:val="00577842"/>
    <w:rsid w:val="005930DB"/>
    <w:rsid w:val="005B6853"/>
    <w:rsid w:val="005C2BD0"/>
    <w:rsid w:val="005E387A"/>
    <w:rsid w:val="0060386C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755C9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930D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930D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Benešová Věra</cp:lastModifiedBy>
  <cp:revision>2</cp:revision>
  <cp:lastPrinted>2014-08-08T09:54:00Z</cp:lastPrinted>
  <dcterms:created xsi:type="dcterms:W3CDTF">2016-12-05T06:36:00Z</dcterms:created>
  <dcterms:modified xsi:type="dcterms:W3CDTF">2016-12-05T06:36:00Z</dcterms:modified>
</cp:coreProperties>
</file>